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452C" w14:textId="77777777" w:rsidR="00731F51" w:rsidRDefault="00731F51" w:rsidP="0038211D">
      <w:pPr>
        <w:spacing w:after="120"/>
        <w:jc w:val="center"/>
        <w:rPr>
          <w:b/>
          <w:bCs/>
        </w:rPr>
      </w:pPr>
    </w:p>
    <w:p w14:paraId="0A746B74" w14:textId="40EA99F3" w:rsidR="0038211D" w:rsidRDefault="00731F51" w:rsidP="00731F51">
      <w:pPr>
        <w:spacing w:after="120"/>
        <w:jc w:val="center"/>
        <w:rPr>
          <w:b/>
          <w:bCs/>
        </w:rPr>
      </w:pPr>
      <w:r>
        <w:rPr>
          <w:noProof/>
        </w:rPr>
        <mc:AlternateContent>
          <mc:Choice Requires="wps">
            <w:drawing>
              <wp:anchor distT="0" distB="0" distL="114300" distR="114300" simplePos="0" relativeHeight="251659264" behindDoc="0" locked="0" layoutInCell="1" allowOverlap="1" wp14:anchorId="2C9373FE" wp14:editId="4AA362F1">
                <wp:simplePos x="0" y="0"/>
                <wp:positionH relativeFrom="column">
                  <wp:posOffset>0</wp:posOffset>
                </wp:positionH>
                <wp:positionV relativeFrom="paragraph">
                  <wp:posOffset>589280</wp:posOffset>
                </wp:positionV>
                <wp:extent cx="5908431"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908431"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2207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6.4pt" to="465.2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z6wgEAANsDAAAOAAAAZHJzL2Uyb0RvYy54bWysU8Fu2zAMvQ/YPwi6L3ayZWiNOD206C7D&#10;Vmzd7qpMxcIkUZC02Pn7UXJiF90Ow7CLIJGPj3wktbsZrWFHCFGja/l6VXMGTmKn3aHl3x7v31xx&#10;FpNwnTDooOUniPxm//rVbvANbLBH00FgROJiM/iW9yn5pqqi7MGKuEIPjpwKgxWJnuFQdUEMxG5N&#10;tanr99WAofMBJcRI1rvJyfeFXymQ6bNSERIzLafaUjlDOZ/yWe13ojkE4Xstz2WIf6jCCu0o6Ux1&#10;J5JgP4P+jcpqGTCiSiuJtkKltISigdSs6xdqvvbCQ9FCzYl+blP8f7Ty0/HWPQRqw+BjE/1DyCpG&#10;FSxTRvvvNNOiiyplY2nbaW4bjIlJMm6v66t3b9ecyYuvmigylQ8xfQC0LF9abrTLikQjjh9jorQE&#10;vUCy2Tg2tPx6u9kWVESju3ttTPaVpYBbE9hR0DjTuM7jI4JnKHoZR8ZFTbmlk4GJ/gsopjuqetL1&#10;grP7ceE0jpA5RFH2OaieqsrbuRSyBJ2xOQzK8v1t4IwuGdGlOdBqh+FPWRf5asJfVE9as+wn7E5l&#10;tqUdtEGlW+dtzyv6/F3Clz+5/wUAAP//AwBQSwMEFAAGAAgAAAAhAORJz6bbAAAABgEAAA8AAABk&#10;cnMvZG93bnJldi54bWxMj81OwzAQhO9IfQdrkbhRh6CiNsSpAqKnAuqfenbjJY4ar6PYbcPbs4gD&#10;Pe7MaObbfD64VpyxD40nBQ/jBARS5U1DtYLddnE/BRGiJqNbT6jgGwPMi9FNrjPjL7TG8ybWgkso&#10;ZFqBjbHLpAyVRafD2HdI7H353unIZ19L0+sLl7tWpknyJJ1uiBes7vDVYnXcnJyCYelW6WJZlmv5&#10;sfqM+5fpm528K3V3O5TPICIO8T8Mv/iMDgUzHfyJTBCtAn4kKpilzM/u7DGZgDj8CbLI5TV+8QMA&#10;AP//AwBQSwECLQAUAAYACAAAACEAtoM4kv4AAADhAQAAEwAAAAAAAAAAAAAAAAAAAAAAW0NvbnRl&#10;bnRfVHlwZXNdLnhtbFBLAQItABQABgAIAAAAIQA4/SH/1gAAAJQBAAALAAAAAAAAAAAAAAAAAC8B&#10;AABfcmVscy8ucmVsc1BLAQItABQABgAIAAAAIQANtVz6wgEAANsDAAAOAAAAAAAAAAAAAAAAAC4C&#10;AABkcnMvZTJvRG9jLnhtbFBLAQItABQABgAIAAAAIQDkSc+m2wAAAAYBAAAPAAAAAAAAAAAAAAAA&#10;ABwEAABkcnMvZG93bnJldi54bWxQSwUGAAAAAAQABADzAAAAJAUAAAAA&#10;" strokecolor="black [3213]">
                <v:stroke joinstyle="miter"/>
              </v:line>
            </w:pict>
          </mc:Fallback>
        </mc:AlternateContent>
      </w:r>
      <w:r w:rsidRPr="00731F51">
        <w:rPr>
          <w:b/>
          <w:bCs/>
        </w:rPr>
        <w:t>DRAFT FINDING OF NO SIGNIFICANT IMPACT</w:t>
      </w:r>
      <w:r>
        <w:rPr>
          <w:b/>
          <w:bCs/>
        </w:rPr>
        <w:br/>
      </w:r>
      <w:r w:rsidRPr="00731F51">
        <w:rPr>
          <w:b/>
          <w:bCs/>
        </w:rPr>
        <w:t>ENVIRONMENTAL ASSESSMENT FOR DEVELOPMENT OF ADDITIONAL HLZS</w:t>
      </w:r>
      <w:r>
        <w:rPr>
          <w:b/>
          <w:bCs/>
        </w:rPr>
        <w:br/>
      </w:r>
      <w:r w:rsidRPr="00731F51">
        <w:rPr>
          <w:b/>
          <w:bCs/>
        </w:rPr>
        <w:t>MOODY AIR FORCE BASE, GEORGIA</w:t>
      </w:r>
    </w:p>
    <w:p w14:paraId="76ECFDBD" w14:textId="77777777" w:rsidR="00731F51" w:rsidRDefault="00731F51" w:rsidP="00731F51">
      <w:pPr>
        <w:spacing w:after="120"/>
        <w:jc w:val="center"/>
        <w:rPr>
          <w:b/>
          <w:bCs/>
        </w:rPr>
      </w:pPr>
    </w:p>
    <w:p w14:paraId="54909E89" w14:textId="2FCD39E5" w:rsidR="00AA1B1F" w:rsidRPr="00CA44EE" w:rsidRDefault="00CA44EE" w:rsidP="00CA44EE">
      <w:r>
        <w:t>P</w:t>
      </w:r>
      <w:r w:rsidRPr="00573011">
        <w:t xml:space="preserve">ursuant to the National Environmental Policy Act (NEPA) of 1969, as amended; the President’s Council on Environmental Quality (CEQ) Regulations Implementing NEPA (Title 40 Code of Federal Regulations [CFR] §§ 1500–1508), with the </w:t>
      </w:r>
      <w:bookmarkStart w:id="0" w:name="_Hlk152882660"/>
      <w:r w:rsidRPr="00573011">
        <w:t>January 9, 2023</w:t>
      </w:r>
      <w:bookmarkEnd w:id="0"/>
      <w:r w:rsidRPr="00573011">
        <w:t xml:space="preserve">, version of CEQ regulations being used, the </w:t>
      </w:r>
      <w:r w:rsidRPr="00573011">
        <w:rPr>
          <w:i/>
          <w:iCs/>
        </w:rPr>
        <w:t>National Environmental Policy Act Guidance on Consideration of Greenhouse Gas Emissions and Climate Change</w:t>
      </w:r>
      <w:r w:rsidRPr="00573011">
        <w:t xml:space="preserve"> (40 CFR Parts 1500–1508), 88 Federal Register (FR) 1196; and the Air Force NEPA regulations at 32 CFR Part 989, Environmental Impact Analysis Process (EIAP) which implements NEPA and CEQ regulations</w:t>
      </w:r>
      <w:r>
        <w:t xml:space="preserve">, </w:t>
      </w:r>
      <w:r w:rsidR="00AA1B1F" w:rsidRPr="00AA1B1F">
        <w:rPr>
          <w:rFonts w:eastAsia="Times New Roman" w:cs="Arial"/>
          <w:color w:val="000000"/>
        </w:rPr>
        <w:t>the U</w:t>
      </w:r>
      <w:r w:rsidR="00891A1C">
        <w:rPr>
          <w:rFonts w:eastAsia="Times New Roman" w:cs="Arial"/>
          <w:color w:val="000000"/>
        </w:rPr>
        <w:t>nited States</w:t>
      </w:r>
      <w:r w:rsidR="00AA1B1F" w:rsidRPr="00AA1B1F">
        <w:rPr>
          <w:rFonts w:eastAsia="Times New Roman" w:cs="Arial"/>
          <w:color w:val="000000"/>
        </w:rPr>
        <w:t xml:space="preserve"> </w:t>
      </w:r>
      <w:r w:rsidR="00891A1C">
        <w:rPr>
          <w:rFonts w:eastAsia="Times New Roman" w:cs="Arial"/>
          <w:color w:val="000000"/>
        </w:rPr>
        <w:t xml:space="preserve">Department of the </w:t>
      </w:r>
      <w:r w:rsidR="00AA1B1F" w:rsidRPr="00AA1B1F">
        <w:rPr>
          <w:rFonts w:eastAsia="Times New Roman" w:cs="Arial"/>
          <w:color w:val="000000"/>
        </w:rPr>
        <w:t>Air Force (</w:t>
      </w:r>
      <w:r w:rsidR="00891A1C">
        <w:rPr>
          <w:rFonts w:eastAsia="Times New Roman" w:cs="Arial"/>
          <w:color w:val="000000"/>
        </w:rPr>
        <w:t>DAF</w:t>
      </w:r>
      <w:r w:rsidR="00AA1B1F" w:rsidRPr="00AA1B1F">
        <w:rPr>
          <w:rFonts w:eastAsia="Times New Roman" w:cs="Arial"/>
          <w:color w:val="000000"/>
        </w:rPr>
        <w:t xml:space="preserve">) assessed the potential environmental consequences associated with the </w:t>
      </w:r>
      <w:r w:rsidR="00856E6C" w:rsidRPr="00856E6C">
        <w:rPr>
          <w:rFonts w:eastAsia="Times New Roman" w:cs="Arial"/>
          <w:color w:val="000000"/>
        </w:rPr>
        <w:t>establishment of three proposed off-base helicopter landing zones (HLZs) located on private parcels</w:t>
      </w:r>
      <w:r w:rsidR="00891A1C">
        <w:rPr>
          <w:rFonts w:eastAsia="Times New Roman" w:cs="Arial"/>
          <w:color w:val="000000"/>
        </w:rPr>
        <w:t xml:space="preserve"> in Brooks and Lowndes</w:t>
      </w:r>
      <w:r w:rsidR="00856E6C" w:rsidRPr="00856E6C">
        <w:rPr>
          <w:rFonts w:eastAsia="Times New Roman" w:cs="Arial"/>
          <w:color w:val="000000"/>
        </w:rPr>
        <w:t xml:space="preserve"> counties in Georgia</w:t>
      </w:r>
      <w:r w:rsidR="00856E6C">
        <w:rPr>
          <w:rFonts w:eastAsia="Times New Roman" w:cs="Arial"/>
          <w:color w:val="000000"/>
        </w:rPr>
        <w:t>. The action would</w:t>
      </w:r>
      <w:r w:rsidR="00AA1B1F" w:rsidRPr="00AA1B1F">
        <w:rPr>
          <w:rFonts w:eastAsia="Times New Roman" w:cs="Arial"/>
          <w:color w:val="000000"/>
        </w:rPr>
        <w:t xml:space="preserve"> support the 347th Rescue Group’s (347 RQG) personnel recovery (PR) training. Activities would involve helicopter landings, ground troop training, and flyovers by helicopters. The proposed land areas for the HLZs</w:t>
      </w:r>
      <w:r w:rsidR="00856E6C">
        <w:rPr>
          <w:rFonts w:eastAsia="Times New Roman" w:cs="Arial"/>
          <w:color w:val="000000"/>
        </w:rPr>
        <w:t xml:space="preserve"> </w:t>
      </w:r>
      <w:r w:rsidR="00AA1B1F" w:rsidRPr="00AA1B1F">
        <w:rPr>
          <w:rFonts w:eastAsia="Times New Roman" w:cs="Arial"/>
          <w:color w:val="000000"/>
        </w:rPr>
        <w:t xml:space="preserve">are privately owned and would be utilized by the </w:t>
      </w:r>
      <w:r w:rsidR="00891A1C">
        <w:rPr>
          <w:rFonts w:eastAsia="Times New Roman" w:cs="Arial"/>
          <w:color w:val="000000"/>
        </w:rPr>
        <w:t>DAF</w:t>
      </w:r>
      <w:r w:rsidR="00AA1B1F" w:rsidRPr="00AA1B1F">
        <w:rPr>
          <w:rFonts w:eastAsia="Times New Roman" w:cs="Arial"/>
          <w:color w:val="000000"/>
        </w:rPr>
        <w:t xml:space="preserve"> under lease agreements with the respective owners.</w:t>
      </w:r>
    </w:p>
    <w:p w14:paraId="7E9EE9A9" w14:textId="6CF9E715" w:rsidR="00AA1B1F" w:rsidRPr="00731F51" w:rsidRDefault="00AA1B1F" w:rsidP="00731F51">
      <w:r w:rsidRPr="00AA1B1F">
        <w:rPr>
          <w:rFonts w:eastAsia="Times New Roman" w:cs="Arial"/>
          <w:color w:val="000000"/>
        </w:rPr>
        <w:t xml:space="preserve">The purpose of the Proposed Action is </w:t>
      </w:r>
      <w:r w:rsidR="00891A1C" w:rsidRPr="00573011">
        <w:t>to address scheduling conflicts and increase range space by leasing land for the development of three HLZs within Moody AFB airspace.</w:t>
      </w:r>
      <w:r w:rsidR="00731F51">
        <w:t xml:space="preserve"> </w:t>
      </w:r>
      <w:r w:rsidR="00856E6C">
        <w:rPr>
          <w:rFonts w:eastAsia="Times New Roman" w:cs="Arial"/>
          <w:color w:val="000000"/>
        </w:rPr>
        <w:t xml:space="preserve">The </w:t>
      </w:r>
      <w:r w:rsidR="00A313CC">
        <w:rPr>
          <w:rFonts w:eastAsia="Times New Roman" w:cs="Arial"/>
          <w:color w:val="000000"/>
        </w:rPr>
        <w:t>P</w:t>
      </w:r>
      <w:r w:rsidR="00856E6C">
        <w:rPr>
          <w:rFonts w:eastAsia="Times New Roman" w:cs="Arial"/>
          <w:color w:val="000000"/>
        </w:rPr>
        <w:t xml:space="preserve">roposed </w:t>
      </w:r>
      <w:r w:rsidR="00A313CC">
        <w:rPr>
          <w:rFonts w:eastAsia="Times New Roman" w:cs="Arial"/>
          <w:color w:val="000000"/>
        </w:rPr>
        <w:t>A</w:t>
      </w:r>
      <w:r w:rsidR="00856E6C">
        <w:rPr>
          <w:rFonts w:eastAsia="Times New Roman" w:cs="Arial"/>
          <w:color w:val="000000"/>
        </w:rPr>
        <w:t xml:space="preserve">ction is needed to </w:t>
      </w:r>
      <w:r w:rsidR="00891A1C" w:rsidRPr="00891A1C">
        <w:rPr>
          <w:rFonts w:eastAsia="Times New Roman" w:cs="Arial"/>
          <w:color w:val="000000"/>
        </w:rPr>
        <w:t>alleviate recurring scheduling conflicts and provide more realistic and varied training areas for 347 RQG and 23</w:t>
      </w:r>
      <w:r w:rsidR="00891A1C">
        <w:rPr>
          <w:rFonts w:eastAsia="Times New Roman" w:cs="Arial"/>
          <w:color w:val="000000"/>
        </w:rPr>
        <w:t>d</w:t>
      </w:r>
      <w:r w:rsidR="00891A1C" w:rsidRPr="00891A1C">
        <w:rPr>
          <w:rFonts w:eastAsia="Times New Roman" w:cs="Arial"/>
          <w:color w:val="000000"/>
        </w:rPr>
        <w:t xml:space="preserve"> W</w:t>
      </w:r>
      <w:r w:rsidR="00891A1C">
        <w:rPr>
          <w:rFonts w:eastAsia="Times New Roman" w:cs="Arial"/>
          <w:color w:val="000000"/>
        </w:rPr>
        <w:t>ing</w:t>
      </w:r>
      <w:r w:rsidR="00891A1C" w:rsidRPr="00891A1C">
        <w:rPr>
          <w:rFonts w:eastAsia="Times New Roman" w:cs="Arial"/>
          <w:color w:val="000000"/>
        </w:rPr>
        <w:t xml:space="preserve"> aircraft. The limited number of current HLZ training areas leads to deficits in training proficiency and currency, which drives up the man</w:t>
      </w:r>
      <w:r w:rsidR="00125AA7">
        <w:rPr>
          <w:rFonts w:eastAsia="Times New Roman" w:cs="Arial"/>
          <w:color w:val="000000"/>
        </w:rPr>
        <w:t>-</w:t>
      </w:r>
      <w:r w:rsidR="00891A1C" w:rsidRPr="00891A1C">
        <w:rPr>
          <w:rFonts w:eastAsia="Times New Roman" w:cs="Arial"/>
          <w:color w:val="000000"/>
        </w:rPr>
        <w:t>hour costs when use of</w:t>
      </w:r>
      <w:r w:rsidR="00891A1C">
        <w:rPr>
          <w:rFonts w:eastAsia="Times New Roman" w:cs="Arial"/>
          <w:color w:val="000000"/>
        </w:rPr>
        <w:t xml:space="preserve"> distant</w:t>
      </w:r>
      <w:r w:rsidR="00891A1C" w:rsidRPr="00891A1C">
        <w:rPr>
          <w:rFonts w:eastAsia="Times New Roman" w:cs="Arial"/>
          <w:color w:val="000000"/>
        </w:rPr>
        <w:t xml:space="preserve"> alternate training areas is required.</w:t>
      </w:r>
    </w:p>
    <w:p w14:paraId="748A5CAF" w14:textId="6D91DA5D" w:rsidR="00B80DB6" w:rsidRDefault="00AA1B1F" w:rsidP="0038211D">
      <w:pPr>
        <w:spacing w:after="120" w:line="264" w:lineRule="auto"/>
        <w:rPr>
          <w:rFonts w:eastAsia="Times New Roman" w:cs="Arial"/>
          <w:color w:val="000000"/>
        </w:rPr>
      </w:pPr>
      <w:r w:rsidRPr="00AA1B1F">
        <w:rPr>
          <w:rFonts w:eastAsia="Times New Roman" w:cs="Arial"/>
          <w:color w:val="000000"/>
        </w:rPr>
        <w:t>The Environmental Assessment (EA), incorporated by reference into this finding, analyzes the potential environmental consequences of activities associated with establishment of the new HLZs, and provides environmental protection measures to avoid or reduce adverse environmental impacts. The EA considers all potential impacts of the Proposed Action and the No Action Alternative. The EA also considers cumulative environmental impacts with other projects at Moody AFB.</w:t>
      </w:r>
    </w:p>
    <w:p w14:paraId="269C7B64" w14:textId="77777777" w:rsidR="00CA44EE" w:rsidRDefault="00CA44EE" w:rsidP="00CA44EE">
      <w:pPr>
        <w:spacing w:after="120" w:line="264" w:lineRule="auto"/>
        <w:rPr>
          <w:rFonts w:eastAsia="Times New Roman" w:cs="Arial"/>
          <w:b/>
          <w:bCs/>
          <w:color w:val="000000"/>
        </w:rPr>
      </w:pPr>
      <w:r w:rsidRPr="00CA44EE">
        <w:rPr>
          <w:rFonts w:eastAsia="Times New Roman" w:cs="Arial"/>
          <w:b/>
          <w:bCs/>
          <w:color w:val="000000"/>
        </w:rPr>
        <w:t>PUBLIC AND TRIBAL REVIEW AND COMMENT</w:t>
      </w:r>
    </w:p>
    <w:p w14:paraId="7C7EEC16" w14:textId="318BFCA2" w:rsidR="00CA44EE" w:rsidRPr="00CA44EE" w:rsidRDefault="00CA44EE" w:rsidP="00CA44EE">
      <w:pPr>
        <w:spacing w:after="120" w:line="264" w:lineRule="auto"/>
        <w:rPr>
          <w:rFonts w:eastAsia="Times New Roman" w:cs="Arial"/>
          <w:color w:val="000000"/>
        </w:rPr>
      </w:pPr>
      <w:r w:rsidRPr="00CA44EE">
        <w:rPr>
          <w:rFonts w:eastAsia="Times New Roman" w:cs="Arial"/>
          <w:color w:val="000000"/>
        </w:rPr>
        <w:t xml:space="preserve">The NEPA process is designed to involve the public in the federal decision-making process. Formal notification and opportunities for public participation were provided during the preparation of this EA. </w:t>
      </w:r>
      <w:r w:rsidR="006117CF">
        <w:rPr>
          <w:rFonts w:eastAsia="Times New Roman" w:cs="Arial"/>
          <w:color w:val="000000"/>
        </w:rPr>
        <w:t>The DAF also conducted f</w:t>
      </w:r>
      <w:r w:rsidRPr="00CA44EE">
        <w:rPr>
          <w:rFonts w:eastAsia="Times New Roman" w:cs="Arial"/>
          <w:color w:val="000000"/>
        </w:rPr>
        <w:t xml:space="preserve">ormal and informal coordination and consultation with government agencies and planners. </w:t>
      </w:r>
    </w:p>
    <w:p w14:paraId="229EF4A2" w14:textId="16DEAD87" w:rsidR="00731F51" w:rsidRDefault="00CA44EE" w:rsidP="00CA44EE">
      <w:pPr>
        <w:spacing w:after="120" w:line="264" w:lineRule="auto"/>
        <w:rPr>
          <w:rFonts w:eastAsia="Times New Roman" w:cs="Arial"/>
          <w:color w:val="000000"/>
        </w:rPr>
      </w:pPr>
      <w:r w:rsidRPr="00CA44EE">
        <w:rPr>
          <w:rFonts w:eastAsia="Times New Roman" w:cs="Arial"/>
          <w:color w:val="000000"/>
        </w:rPr>
        <w:t xml:space="preserve">The Draft EA and the Draft </w:t>
      </w:r>
      <w:r w:rsidR="00623DD3">
        <w:rPr>
          <w:rFonts w:eastAsia="Times New Roman" w:cs="Arial"/>
          <w:color w:val="000000"/>
        </w:rPr>
        <w:t>Finding of No Significant Impact (</w:t>
      </w:r>
      <w:r>
        <w:rPr>
          <w:rFonts w:eastAsia="Times New Roman" w:cs="Arial"/>
          <w:color w:val="000000"/>
        </w:rPr>
        <w:t>FONSI</w:t>
      </w:r>
      <w:r w:rsidR="00623DD3">
        <w:rPr>
          <w:rFonts w:eastAsia="Times New Roman" w:cs="Arial"/>
          <w:color w:val="000000"/>
        </w:rPr>
        <w:t>)</w:t>
      </w:r>
      <w:r w:rsidRPr="00CA44EE">
        <w:rPr>
          <w:rFonts w:eastAsia="Times New Roman" w:cs="Arial"/>
          <w:color w:val="000000"/>
        </w:rPr>
        <w:t xml:space="preserve"> were provided to federal, state, and local officials as well as federally-recognized American Indian Tribes as identified in Appendix A of the EA. The Draft EA and the Draft </w:t>
      </w:r>
      <w:r>
        <w:rPr>
          <w:rFonts w:eastAsia="Times New Roman" w:cs="Arial"/>
          <w:color w:val="000000"/>
        </w:rPr>
        <w:t>FONSI</w:t>
      </w:r>
      <w:r w:rsidRPr="00CA44EE">
        <w:rPr>
          <w:rFonts w:eastAsia="Times New Roman" w:cs="Arial"/>
          <w:color w:val="000000"/>
        </w:rPr>
        <w:t xml:space="preserve"> were made available for public review during 30-day comment periods at the Willis L. Miller Library </w:t>
      </w:r>
      <w:r>
        <w:rPr>
          <w:rFonts w:eastAsia="Times New Roman" w:cs="Arial"/>
          <w:color w:val="000000"/>
        </w:rPr>
        <w:t>in</w:t>
      </w:r>
      <w:r w:rsidRPr="00CA44EE">
        <w:rPr>
          <w:rFonts w:eastAsia="Times New Roman" w:cs="Arial"/>
          <w:color w:val="000000"/>
        </w:rPr>
        <w:t xml:space="preserve"> Valdosta, Georgia, and the Brooks County Public Library</w:t>
      </w:r>
      <w:r>
        <w:rPr>
          <w:rFonts w:eastAsia="Times New Roman" w:cs="Arial"/>
          <w:color w:val="000000"/>
        </w:rPr>
        <w:t xml:space="preserve"> in </w:t>
      </w:r>
      <w:r w:rsidRPr="00CA44EE">
        <w:rPr>
          <w:rFonts w:eastAsia="Times New Roman" w:cs="Arial"/>
          <w:color w:val="000000"/>
        </w:rPr>
        <w:t>Quitman,</w:t>
      </w:r>
      <w:r>
        <w:rPr>
          <w:rFonts w:eastAsia="Times New Roman" w:cs="Arial"/>
          <w:color w:val="000000"/>
        </w:rPr>
        <w:t xml:space="preserve"> Georgia</w:t>
      </w:r>
      <w:r w:rsidR="00731F51">
        <w:rPr>
          <w:rFonts w:eastAsia="Times New Roman" w:cs="Arial"/>
          <w:color w:val="000000"/>
        </w:rPr>
        <w:t>.</w:t>
      </w:r>
      <w:r w:rsidRPr="00CA44EE">
        <w:rPr>
          <w:rFonts w:eastAsia="Times New Roman" w:cs="Arial"/>
          <w:color w:val="000000"/>
        </w:rPr>
        <w:t xml:space="preserve"> All substantial and relevant comments from the public and other government agencies will be addressed in the Final EA and the Final FONSI.</w:t>
      </w:r>
      <w:r w:rsidR="00731F51">
        <w:rPr>
          <w:rFonts w:eastAsia="Times New Roman" w:cs="Arial"/>
          <w:color w:val="000000"/>
        </w:rPr>
        <w:br w:type="page"/>
      </w:r>
    </w:p>
    <w:p w14:paraId="5F8CEC79" w14:textId="766DDC90" w:rsidR="00AA1B1F" w:rsidRPr="0038211D" w:rsidRDefault="00AA1B1F" w:rsidP="0038211D">
      <w:pPr>
        <w:spacing w:after="120" w:line="264" w:lineRule="auto"/>
        <w:rPr>
          <w:rFonts w:cs="Arial"/>
          <w:b/>
          <w:bCs/>
        </w:rPr>
      </w:pPr>
      <w:r w:rsidRPr="0038211D">
        <w:rPr>
          <w:rFonts w:cs="Arial"/>
          <w:b/>
          <w:bCs/>
        </w:rPr>
        <w:lastRenderedPageBreak/>
        <w:t>DESCRIPTION OF THE PROPOSED ACTION</w:t>
      </w:r>
    </w:p>
    <w:p w14:paraId="6FB3713A" w14:textId="38E89A7E" w:rsidR="00AA1B1F" w:rsidRDefault="00BE4BAD" w:rsidP="0038211D">
      <w:pPr>
        <w:spacing w:after="120" w:line="264" w:lineRule="auto"/>
        <w:rPr>
          <w:rFonts w:cs="Arial"/>
        </w:rPr>
      </w:pPr>
      <w:r w:rsidRPr="00BE4BAD">
        <w:rPr>
          <w:rFonts w:cs="Arial"/>
        </w:rPr>
        <w:t xml:space="preserve">The </w:t>
      </w:r>
      <w:r w:rsidR="00A313CC">
        <w:rPr>
          <w:rFonts w:cs="Arial"/>
        </w:rPr>
        <w:t>P</w:t>
      </w:r>
      <w:r w:rsidRPr="00BE4BAD">
        <w:rPr>
          <w:rFonts w:cs="Arial"/>
        </w:rPr>
        <w:t xml:space="preserve">roposed </w:t>
      </w:r>
      <w:r w:rsidR="00A313CC">
        <w:rPr>
          <w:rFonts w:cs="Arial"/>
        </w:rPr>
        <w:t>A</w:t>
      </w:r>
      <w:r w:rsidRPr="00BE4BAD">
        <w:rPr>
          <w:rFonts w:cs="Arial"/>
        </w:rPr>
        <w:t xml:space="preserve">ction is to lease </w:t>
      </w:r>
      <w:r w:rsidR="00891A1C">
        <w:rPr>
          <w:rFonts w:cs="Arial"/>
        </w:rPr>
        <w:t>three</w:t>
      </w:r>
      <w:r w:rsidRPr="00BE4BAD">
        <w:rPr>
          <w:rFonts w:cs="Arial"/>
        </w:rPr>
        <w:t xml:space="preserve"> parcels of land for the development of HLZs near Moody Air Force</w:t>
      </w:r>
      <w:r w:rsidR="005B41D8">
        <w:rPr>
          <w:rFonts w:cs="Arial"/>
        </w:rPr>
        <w:t xml:space="preserve"> B</w:t>
      </w:r>
      <w:r w:rsidRPr="00BE4BAD">
        <w:rPr>
          <w:rFonts w:cs="Arial"/>
        </w:rPr>
        <w:t xml:space="preserve">ase. The </w:t>
      </w:r>
      <w:r w:rsidR="00891A1C">
        <w:rPr>
          <w:rFonts w:cs="Arial"/>
        </w:rPr>
        <w:t>DAF</w:t>
      </w:r>
      <w:r w:rsidRPr="00BE4BAD">
        <w:rPr>
          <w:rFonts w:cs="Arial"/>
        </w:rPr>
        <w:t xml:space="preserve"> intends to use these parcels primarily for daily HH-60</w:t>
      </w:r>
      <w:r w:rsidR="00B71F8F">
        <w:rPr>
          <w:rFonts w:cs="Arial"/>
        </w:rPr>
        <w:t xml:space="preserve"> helicopter</w:t>
      </w:r>
      <w:r w:rsidRPr="00BE4BAD">
        <w:rPr>
          <w:rFonts w:cs="Arial"/>
        </w:rPr>
        <w:t xml:space="preserve"> personnel recovery and aircrew training. </w:t>
      </w:r>
      <w:r w:rsidR="006117CF">
        <w:rPr>
          <w:rFonts w:cs="Arial"/>
        </w:rPr>
        <w:t>Table 1</w:t>
      </w:r>
      <w:r w:rsidR="00AA1B1F" w:rsidRPr="0038211D">
        <w:rPr>
          <w:rFonts w:cs="Arial"/>
        </w:rPr>
        <w:t xml:space="preserve"> </w:t>
      </w:r>
      <w:r w:rsidR="00AA1B1F" w:rsidRPr="00AA1B1F">
        <w:rPr>
          <w:rFonts w:cs="Arial"/>
        </w:rPr>
        <w:t xml:space="preserve">provides the details of each </w:t>
      </w:r>
      <w:r w:rsidR="00BC7B9F">
        <w:rPr>
          <w:rFonts w:cs="Arial"/>
        </w:rPr>
        <w:t>property. Each</w:t>
      </w:r>
      <w:r w:rsidR="00AA1B1F" w:rsidRPr="00AA1B1F">
        <w:rPr>
          <w:rFonts w:cs="Arial"/>
        </w:rPr>
        <w:t xml:space="preserve"> HLZ is privately owned and would be leased by the </w:t>
      </w:r>
      <w:r w:rsidR="00891A1C">
        <w:rPr>
          <w:rFonts w:cs="Arial"/>
        </w:rPr>
        <w:t>DAF</w:t>
      </w:r>
      <w:r w:rsidR="00AA1B1F" w:rsidRPr="00AA1B1F">
        <w:rPr>
          <w:rFonts w:cs="Arial"/>
        </w:rPr>
        <w:t xml:space="preserve"> from</w:t>
      </w:r>
      <w:r w:rsidR="00AA1B1F" w:rsidRPr="0038211D">
        <w:rPr>
          <w:rFonts w:cs="Arial"/>
        </w:rPr>
        <w:t xml:space="preserve"> the owner.</w:t>
      </w:r>
    </w:p>
    <w:p w14:paraId="53141A17" w14:textId="16FAC00E" w:rsidR="006117CF" w:rsidRPr="006117CF" w:rsidRDefault="006117CF" w:rsidP="006117CF">
      <w:pPr>
        <w:spacing w:after="60" w:line="264" w:lineRule="auto"/>
        <w:jc w:val="center"/>
        <w:rPr>
          <w:rFonts w:eastAsia="Times New Roman" w:cs="Times New Roman"/>
          <w:b/>
          <w:bCs/>
          <w:sz w:val="20"/>
          <w:szCs w:val="28"/>
        </w:rPr>
      </w:pPr>
      <w:r>
        <w:rPr>
          <w:rFonts w:eastAsia="Times New Roman" w:cs="Times New Roman"/>
          <w:b/>
          <w:bCs/>
          <w:sz w:val="20"/>
          <w:szCs w:val="28"/>
        </w:rPr>
        <w:t xml:space="preserve">Table 1: </w:t>
      </w:r>
      <w:r w:rsidRPr="006117CF">
        <w:rPr>
          <w:rFonts w:eastAsia="Times New Roman" w:cs="Times New Roman"/>
          <w:b/>
          <w:bCs/>
          <w:sz w:val="20"/>
          <w:szCs w:val="28"/>
        </w:rPr>
        <w:t>Proposed HLZ Details</w:t>
      </w:r>
    </w:p>
    <w:tbl>
      <w:tblPr>
        <w:tblStyle w:val="TableElegant"/>
        <w:tblW w:w="861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865"/>
        <w:gridCol w:w="1057"/>
        <w:gridCol w:w="807"/>
        <w:gridCol w:w="2458"/>
        <w:gridCol w:w="1720"/>
        <w:gridCol w:w="1710"/>
      </w:tblGrid>
      <w:tr w:rsidR="00891A1C" w:rsidRPr="00573011" w14:paraId="40B0773F" w14:textId="77777777" w:rsidTr="003C1DCF">
        <w:trPr>
          <w:cnfStyle w:val="100000000000" w:firstRow="1" w:lastRow="0" w:firstColumn="0" w:lastColumn="0" w:oddVBand="0" w:evenVBand="0" w:oddHBand="0" w:evenHBand="0" w:firstRowFirstColumn="0" w:firstRowLastColumn="0" w:lastRowFirstColumn="0" w:lastRowLastColumn="0"/>
          <w:trHeight w:val="513"/>
          <w:jc w:val="center"/>
        </w:trPr>
        <w:tc>
          <w:tcPr>
            <w:tcW w:w="865" w:type="dxa"/>
            <w:shd w:val="clear" w:color="auto" w:fill="BFBFBF" w:themeFill="background1" w:themeFillShade="BF"/>
            <w:vAlign w:val="center"/>
            <w:hideMark/>
          </w:tcPr>
          <w:p w14:paraId="384FF2C2" w14:textId="77777777" w:rsidR="00891A1C" w:rsidRPr="00573011" w:rsidRDefault="00891A1C" w:rsidP="003C1DCF">
            <w:pPr>
              <w:spacing w:after="0" w:line="240" w:lineRule="auto"/>
              <w:jc w:val="center"/>
              <w:rPr>
                <w:b/>
                <w:bCs/>
                <w:color w:val="000000"/>
                <w:sz w:val="18"/>
                <w:szCs w:val="18"/>
              </w:rPr>
            </w:pPr>
            <w:r w:rsidRPr="00573011">
              <w:rPr>
                <w:b/>
                <w:bCs/>
                <w:caps w:val="0"/>
                <w:color w:val="000000"/>
                <w:sz w:val="18"/>
                <w:szCs w:val="18"/>
              </w:rPr>
              <w:t>HLZ Name</w:t>
            </w:r>
          </w:p>
        </w:tc>
        <w:tc>
          <w:tcPr>
            <w:tcW w:w="1057" w:type="dxa"/>
            <w:shd w:val="clear" w:color="auto" w:fill="BFBFBF" w:themeFill="background1" w:themeFillShade="BF"/>
            <w:vAlign w:val="center"/>
          </w:tcPr>
          <w:p w14:paraId="6E20CFB8" w14:textId="77777777" w:rsidR="00891A1C" w:rsidRPr="00573011" w:rsidRDefault="00891A1C" w:rsidP="003C1DCF">
            <w:pPr>
              <w:spacing w:after="0" w:line="240" w:lineRule="auto"/>
              <w:jc w:val="center"/>
              <w:rPr>
                <w:b/>
                <w:bCs/>
                <w:caps w:val="0"/>
                <w:color w:val="000000"/>
                <w:sz w:val="18"/>
                <w:szCs w:val="18"/>
              </w:rPr>
            </w:pPr>
            <w:r w:rsidRPr="00573011">
              <w:rPr>
                <w:b/>
                <w:bCs/>
                <w:caps w:val="0"/>
                <w:color w:val="000000"/>
                <w:sz w:val="18"/>
                <w:szCs w:val="18"/>
              </w:rPr>
              <w:t>County</w:t>
            </w:r>
          </w:p>
        </w:tc>
        <w:tc>
          <w:tcPr>
            <w:tcW w:w="807" w:type="dxa"/>
            <w:shd w:val="clear" w:color="auto" w:fill="BFBFBF" w:themeFill="background1" w:themeFillShade="BF"/>
            <w:noWrap/>
            <w:vAlign w:val="center"/>
            <w:hideMark/>
          </w:tcPr>
          <w:p w14:paraId="7BCDBE7A" w14:textId="77777777" w:rsidR="00891A1C" w:rsidRPr="00573011" w:rsidRDefault="00891A1C" w:rsidP="003C1DCF">
            <w:pPr>
              <w:spacing w:after="0" w:line="240" w:lineRule="auto"/>
              <w:jc w:val="center"/>
              <w:rPr>
                <w:b/>
                <w:bCs/>
                <w:color w:val="000000"/>
                <w:sz w:val="18"/>
                <w:szCs w:val="18"/>
              </w:rPr>
            </w:pPr>
            <w:r w:rsidRPr="00573011">
              <w:rPr>
                <w:b/>
                <w:bCs/>
                <w:caps w:val="0"/>
                <w:color w:val="000000"/>
                <w:sz w:val="18"/>
                <w:szCs w:val="18"/>
              </w:rPr>
              <w:t>Size (acres)</w:t>
            </w:r>
          </w:p>
        </w:tc>
        <w:tc>
          <w:tcPr>
            <w:tcW w:w="0" w:type="auto"/>
            <w:shd w:val="clear" w:color="auto" w:fill="BFBFBF" w:themeFill="background1" w:themeFillShade="BF"/>
            <w:noWrap/>
            <w:vAlign w:val="center"/>
            <w:hideMark/>
          </w:tcPr>
          <w:p w14:paraId="1F11393F" w14:textId="77777777" w:rsidR="00891A1C" w:rsidRPr="00573011" w:rsidRDefault="00891A1C" w:rsidP="003C1DCF">
            <w:pPr>
              <w:spacing w:after="0" w:line="240" w:lineRule="auto"/>
              <w:jc w:val="center"/>
              <w:rPr>
                <w:b/>
                <w:bCs/>
                <w:caps w:val="0"/>
                <w:color w:val="000000"/>
                <w:sz w:val="18"/>
                <w:szCs w:val="18"/>
              </w:rPr>
            </w:pPr>
            <w:r w:rsidRPr="00573011">
              <w:rPr>
                <w:b/>
                <w:bCs/>
                <w:caps w:val="0"/>
                <w:color w:val="000000"/>
                <w:sz w:val="18"/>
                <w:szCs w:val="18"/>
              </w:rPr>
              <w:t>Location</w:t>
            </w:r>
          </w:p>
          <w:p w14:paraId="72CDE127" w14:textId="77777777" w:rsidR="00891A1C" w:rsidRPr="00573011" w:rsidRDefault="00891A1C" w:rsidP="003C1DCF">
            <w:pPr>
              <w:spacing w:after="0" w:line="240" w:lineRule="auto"/>
              <w:jc w:val="center"/>
              <w:rPr>
                <w:b/>
                <w:bCs/>
                <w:color w:val="000000"/>
                <w:sz w:val="18"/>
                <w:szCs w:val="18"/>
              </w:rPr>
            </w:pPr>
            <w:r w:rsidRPr="00573011">
              <w:rPr>
                <w:b/>
                <w:bCs/>
                <w:caps w:val="0"/>
                <w:color w:val="000000"/>
                <w:sz w:val="18"/>
                <w:szCs w:val="18"/>
              </w:rPr>
              <w:t>(Latitude / Longitude)</w:t>
            </w:r>
          </w:p>
        </w:tc>
        <w:tc>
          <w:tcPr>
            <w:tcW w:w="1720" w:type="dxa"/>
            <w:shd w:val="clear" w:color="auto" w:fill="BFBFBF" w:themeFill="background1" w:themeFillShade="BF"/>
            <w:vAlign w:val="center"/>
          </w:tcPr>
          <w:p w14:paraId="5F438901" w14:textId="77777777" w:rsidR="00891A1C" w:rsidRPr="00573011" w:rsidRDefault="00891A1C" w:rsidP="003C1DCF">
            <w:pPr>
              <w:spacing w:after="0" w:line="240" w:lineRule="auto"/>
              <w:jc w:val="center"/>
              <w:rPr>
                <w:b/>
                <w:bCs/>
                <w:caps w:val="0"/>
                <w:color w:val="000000"/>
                <w:sz w:val="18"/>
                <w:szCs w:val="18"/>
              </w:rPr>
            </w:pPr>
            <w:r w:rsidRPr="00573011">
              <w:rPr>
                <w:b/>
                <w:bCs/>
                <w:caps w:val="0"/>
                <w:color w:val="000000"/>
                <w:sz w:val="18"/>
                <w:szCs w:val="18"/>
              </w:rPr>
              <w:t>Parcel Number</w:t>
            </w:r>
          </w:p>
        </w:tc>
        <w:tc>
          <w:tcPr>
            <w:tcW w:w="1710" w:type="dxa"/>
            <w:shd w:val="clear" w:color="auto" w:fill="BFBFBF" w:themeFill="background1" w:themeFillShade="BF"/>
            <w:noWrap/>
            <w:vAlign w:val="center"/>
            <w:hideMark/>
          </w:tcPr>
          <w:p w14:paraId="3CEBE4AC" w14:textId="77777777" w:rsidR="00891A1C" w:rsidRPr="00573011" w:rsidRDefault="00891A1C" w:rsidP="003C1DCF">
            <w:pPr>
              <w:spacing w:after="0" w:line="240" w:lineRule="auto"/>
              <w:jc w:val="center"/>
              <w:rPr>
                <w:b/>
                <w:bCs/>
                <w:color w:val="000000"/>
                <w:sz w:val="18"/>
                <w:szCs w:val="18"/>
              </w:rPr>
            </w:pPr>
            <w:r w:rsidRPr="00573011">
              <w:rPr>
                <w:b/>
                <w:bCs/>
                <w:caps w:val="0"/>
                <w:color w:val="000000"/>
                <w:sz w:val="18"/>
                <w:szCs w:val="18"/>
              </w:rPr>
              <w:t>Current Primary Land Use</w:t>
            </w:r>
          </w:p>
        </w:tc>
      </w:tr>
      <w:tr w:rsidR="00891A1C" w:rsidRPr="00573011" w14:paraId="00358D17" w14:textId="77777777" w:rsidTr="00731F51">
        <w:trPr>
          <w:trHeight w:val="417"/>
          <w:jc w:val="center"/>
        </w:trPr>
        <w:tc>
          <w:tcPr>
            <w:tcW w:w="865" w:type="dxa"/>
            <w:vAlign w:val="center"/>
          </w:tcPr>
          <w:p w14:paraId="4CDB80C8" w14:textId="77777777" w:rsidR="00891A1C" w:rsidRPr="00573011" w:rsidRDefault="00891A1C" w:rsidP="003C1DCF">
            <w:pPr>
              <w:spacing w:after="0" w:line="240" w:lineRule="auto"/>
              <w:jc w:val="center"/>
              <w:rPr>
                <w:color w:val="000000"/>
                <w:sz w:val="18"/>
                <w:szCs w:val="18"/>
              </w:rPr>
            </w:pPr>
            <w:bookmarkStart w:id="1" w:name="_Hlk97022715"/>
            <w:r w:rsidRPr="00573011">
              <w:rPr>
                <w:color w:val="000000"/>
                <w:sz w:val="18"/>
                <w:szCs w:val="18"/>
              </w:rPr>
              <w:t>HLZ-1</w:t>
            </w:r>
          </w:p>
        </w:tc>
        <w:tc>
          <w:tcPr>
            <w:tcW w:w="1057" w:type="dxa"/>
            <w:vAlign w:val="center"/>
          </w:tcPr>
          <w:p w14:paraId="1BE84AC8" w14:textId="77777777" w:rsidR="00891A1C" w:rsidRPr="00573011" w:rsidRDefault="00891A1C" w:rsidP="003C1DCF">
            <w:pPr>
              <w:spacing w:after="0" w:line="240" w:lineRule="auto"/>
              <w:jc w:val="center"/>
              <w:rPr>
                <w:color w:val="000000"/>
                <w:sz w:val="18"/>
                <w:szCs w:val="18"/>
              </w:rPr>
            </w:pPr>
            <w:r w:rsidRPr="00573011">
              <w:rPr>
                <w:color w:val="000000"/>
                <w:sz w:val="18"/>
                <w:szCs w:val="18"/>
              </w:rPr>
              <w:t>Brooks</w:t>
            </w:r>
          </w:p>
        </w:tc>
        <w:tc>
          <w:tcPr>
            <w:tcW w:w="807" w:type="dxa"/>
            <w:noWrap/>
            <w:vAlign w:val="center"/>
          </w:tcPr>
          <w:p w14:paraId="39899121" w14:textId="77777777" w:rsidR="00891A1C" w:rsidRPr="00573011" w:rsidRDefault="00891A1C" w:rsidP="003C1DCF">
            <w:pPr>
              <w:spacing w:after="0" w:line="240" w:lineRule="auto"/>
              <w:jc w:val="center"/>
              <w:rPr>
                <w:color w:val="000000"/>
                <w:sz w:val="18"/>
                <w:szCs w:val="18"/>
              </w:rPr>
            </w:pPr>
            <w:r w:rsidRPr="00573011">
              <w:rPr>
                <w:color w:val="000000"/>
                <w:sz w:val="18"/>
                <w:szCs w:val="18"/>
              </w:rPr>
              <w:t>2.3</w:t>
            </w:r>
          </w:p>
        </w:tc>
        <w:tc>
          <w:tcPr>
            <w:tcW w:w="0" w:type="auto"/>
            <w:noWrap/>
            <w:vAlign w:val="center"/>
          </w:tcPr>
          <w:p w14:paraId="6D917AD9" w14:textId="77777777" w:rsidR="00891A1C" w:rsidRPr="00573011" w:rsidRDefault="00891A1C" w:rsidP="003C1DCF">
            <w:pPr>
              <w:spacing w:after="0" w:line="240" w:lineRule="auto"/>
              <w:jc w:val="center"/>
              <w:rPr>
                <w:color w:val="000000"/>
                <w:sz w:val="18"/>
                <w:szCs w:val="18"/>
              </w:rPr>
            </w:pPr>
            <w:r w:rsidRPr="00573011">
              <w:rPr>
                <w:color w:val="000000"/>
                <w:sz w:val="18"/>
                <w:szCs w:val="18"/>
              </w:rPr>
              <w:t>30°56'1.05"N, 83°27'18.5"W</w:t>
            </w:r>
          </w:p>
        </w:tc>
        <w:tc>
          <w:tcPr>
            <w:tcW w:w="1720" w:type="dxa"/>
            <w:vAlign w:val="center"/>
          </w:tcPr>
          <w:p w14:paraId="0122CB33" w14:textId="77777777" w:rsidR="00891A1C" w:rsidRPr="00573011" w:rsidRDefault="00891A1C" w:rsidP="003C1DCF">
            <w:pPr>
              <w:spacing w:after="0" w:line="240" w:lineRule="auto"/>
              <w:jc w:val="center"/>
              <w:rPr>
                <w:color w:val="000000"/>
                <w:sz w:val="18"/>
                <w:szCs w:val="18"/>
              </w:rPr>
            </w:pPr>
            <w:r w:rsidRPr="00573011">
              <w:rPr>
                <w:color w:val="000000"/>
                <w:sz w:val="18"/>
                <w:szCs w:val="18"/>
              </w:rPr>
              <w:t>119 0006</w:t>
            </w:r>
          </w:p>
        </w:tc>
        <w:tc>
          <w:tcPr>
            <w:tcW w:w="1710" w:type="dxa"/>
            <w:noWrap/>
            <w:vAlign w:val="center"/>
          </w:tcPr>
          <w:p w14:paraId="2EDA1A73" w14:textId="77777777" w:rsidR="00891A1C" w:rsidRPr="00573011" w:rsidRDefault="00891A1C" w:rsidP="003C1DCF">
            <w:pPr>
              <w:spacing w:after="0" w:line="240" w:lineRule="auto"/>
              <w:jc w:val="center"/>
              <w:rPr>
                <w:color w:val="000000"/>
                <w:sz w:val="18"/>
                <w:szCs w:val="18"/>
              </w:rPr>
            </w:pPr>
            <w:r w:rsidRPr="00573011">
              <w:rPr>
                <w:color w:val="000000"/>
                <w:sz w:val="18"/>
                <w:szCs w:val="18"/>
              </w:rPr>
              <w:t>Undeveloped</w:t>
            </w:r>
          </w:p>
        </w:tc>
      </w:tr>
      <w:tr w:rsidR="00891A1C" w:rsidRPr="00573011" w14:paraId="6EDF458F" w14:textId="77777777" w:rsidTr="00731F51">
        <w:trPr>
          <w:trHeight w:val="453"/>
          <w:jc w:val="center"/>
        </w:trPr>
        <w:tc>
          <w:tcPr>
            <w:tcW w:w="865" w:type="dxa"/>
            <w:vAlign w:val="center"/>
          </w:tcPr>
          <w:p w14:paraId="21726C22" w14:textId="77777777" w:rsidR="00891A1C" w:rsidRPr="00573011" w:rsidRDefault="00891A1C" w:rsidP="003C1DCF">
            <w:pPr>
              <w:spacing w:after="0" w:line="240" w:lineRule="auto"/>
              <w:jc w:val="center"/>
              <w:rPr>
                <w:color w:val="000000"/>
                <w:sz w:val="18"/>
                <w:szCs w:val="18"/>
              </w:rPr>
            </w:pPr>
            <w:r w:rsidRPr="00573011">
              <w:rPr>
                <w:color w:val="000000"/>
                <w:sz w:val="18"/>
                <w:szCs w:val="18"/>
              </w:rPr>
              <w:t>HLZ-2</w:t>
            </w:r>
          </w:p>
        </w:tc>
        <w:tc>
          <w:tcPr>
            <w:tcW w:w="1057" w:type="dxa"/>
            <w:vAlign w:val="center"/>
          </w:tcPr>
          <w:p w14:paraId="3DAB1C19" w14:textId="77777777" w:rsidR="00891A1C" w:rsidRPr="00573011" w:rsidRDefault="00891A1C" w:rsidP="003C1DCF">
            <w:pPr>
              <w:spacing w:after="0" w:line="240" w:lineRule="auto"/>
              <w:jc w:val="center"/>
              <w:rPr>
                <w:color w:val="000000"/>
                <w:sz w:val="18"/>
                <w:szCs w:val="18"/>
              </w:rPr>
            </w:pPr>
            <w:r w:rsidRPr="00573011">
              <w:rPr>
                <w:color w:val="000000"/>
                <w:sz w:val="18"/>
                <w:szCs w:val="18"/>
              </w:rPr>
              <w:t>Lowndes</w:t>
            </w:r>
          </w:p>
        </w:tc>
        <w:tc>
          <w:tcPr>
            <w:tcW w:w="807" w:type="dxa"/>
            <w:noWrap/>
            <w:vAlign w:val="center"/>
          </w:tcPr>
          <w:p w14:paraId="6861BD17" w14:textId="77777777" w:rsidR="00891A1C" w:rsidRPr="00573011" w:rsidRDefault="00891A1C" w:rsidP="003C1DCF">
            <w:pPr>
              <w:spacing w:after="0" w:line="240" w:lineRule="auto"/>
              <w:jc w:val="center"/>
              <w:rPr>
                <w:color w:val="000000"/>
                <w:sz w:val="18"/>
                <w:szCs w:val="18"/>
              </w:rPr>
            </w:pPr>
            <w:r w:rsidRPr="00573011">
              <w:rPr>
                <w:color w:val="000000"/>
                <w:sz w:val="18"/>
                <w:szCs w:val="18"/>
              </w:rPr>
              <w:t>2.0</w:t>
            </w:r>
          </w:p>
        </w:tc>
        <w:tc>
          <w:tcPr>
            <w:tcW w:w="0" w:type="auto"/>
            <w:noWrap/>
            <w:vAlign w:val="center"/>
          </w:tcPr>
          <w:p w14:paraId="08A000F6" w14:textId="77777777" w:rsidR="00891A1C" w:rsidRPr="00573011" w:rsidRDefault="00891A1C" w:rsidP="003C1DCF">
            <w:pPr>
              <w:spacing w:after="0" w:line="240" w:lineRule="auto"/>
              <w:jc w:val="center"/>
              <w:rPr>
                <w:color w:val="000000"/>
                <w:sz w:val="18"/>
                <w:szCs w:val="18"/>
              </w:rPr>
            </w:pPr>
            <w:r w:rsidRPr="00573011">
              <w:rPr>
                <w:color w:val="000000"/>
                <w:sz w:val="18"/>
                <w:szCs w:val="18"/>
              </w:rPr>
              <w:t>30°48'45.7"N, 83°26'32.5"W</w:t>
            </w:r>
          </w:p>
        </w:tc>
        <w:tc>
          <w:tcPr>
            <w:tcW w:w="1720" w:type="dxa"/>
            <w:vAlign w:val="center"/>
          </w:tcPr>
          <w:p w14:paraId="7D519C87" w14:textId="77777777" w:rsidR="00891A1C" w:rsidRPr="00573011" w:rsidRDefault="00891A1C" w:rsidP="003C1DCF">
            <w:pPr>
              <w:spacing w:after="0" w:line="240" w:lineRule="auto"/>
              <w:jc w:val="center"/>
              <w:rPr>
                <w:color w:val="000000"/>
                <w:sz w:val="18"/>
                <w:szCs w:val="18"/>
              </w:rPr>
            </w:pPr>
            <w:r w:rsidRPr="00573011">
              <w:rPr>
                <w:color w:val="000000"/>
                <w:sz w:val="18"/>
                <w:szCs w:val="18"/>
              </w:rPr>
              <w:t>0016 001</w:t>
            </w:r>
          </w:p>
        </w:tc>
        <w:tc>
          <w:tcPr>
            <w:tcW w:w="1710" w:type="dxa"/>
            <w:noWrap/>
            <w:vAlign w:val="center"/>
          </w:tcPr>
          <w:p w14:paraId="3EEEEBF7" w14:textId="77777777" w:rsidR="00891A1C" w:rsidRPr="00573011" w:rsidRDefault="00891A1C" w:rsidP="003C1DCF">
            <w:pPr>
              <w:spacing w:after="0" w:line="240" w:lineRule="auto"/>
              <w:jc w:val="center"/>
              <w:rPr>
                <w:color w:val="000000"/>
                <w:sz w:val="18"/>
                <w:szCs w:val="18"/>
              </w:rPr>
            </w:pPr>
            <w:r w:rsidRPr="00573011">
              <w:rPr>
                <w:color w:val="000000"/>
                <w:sz w:val="18"/>
                <w:szCs w:val="18"/>
              </w:rPr>
              <w:t>Undeveloped</w:t>
            </w:r>
          </w:p>
        </w:tc>
      </w:tr>
      <w:tr w:rsidR="00891A1C" w:rsidRPr="00573011" w14:paraId="47B5281D" w14:textId="77777777" w:rsidTr="00731F51">
        <w:trPr>
          <w:trHeight w:val="408"/>
          <w:jc w:val="center"/>
        </w:trPr>
        <w:tc>
          <w:tcPr>
            <w:tcW w:w="865" w:type="dxa"/>
            <w:vAlign w:val="center"/>
          </w:tcPr>
          <w:p w14:paraId="067C6F32" w14:textId="77777777" w:rsidR="00891A1C" w:rsidRPr="00573011" w:rsidRDefault="00891A1C" w:rsidP="003C1DCF">
            <w:pPr>
              <w:spacing w:after="0" w:line="240" w:lineRule="auto"/>
              <w:jc w:val="center"/>
              <w:rPr>
                <w:color w:val="000000"/>
                <w:sz w:val="18"/>
                <w:szCs w:val="18"/>
              </w:rPr>
            </w:pPr>
            <w:r w:rsidRPr="00573011">
              <w:rPr>
                <w:color w:val="000000"/>
                <w:sz w:val="18"/>
                <w:szCs w:val="18"/>
              </w:rPr>
              <w:t>HLZ-3</w:t>
            </w:r>
          </w:p>
        </w:tc>
        <w:tc>
          <w:tcPr>
            <w:tcW w:w="1057" w:type="dxa"/>
            <w:vAlign w:val="center"/>
          </w:tcPr>
          <w:p w14:paraId="6EC28889" w14:textId="77777777" w:rsidR="00891A1C" w:rsidRPr="00573011" w:rsidRDefault="00891A1C" w:rsidP="003C1DCF">
            <w:pPr>
              <w:spacing w:after="0" w:line="240" w:lineRule="auto"/>
              <w:jc w:val="center"/>
              <w:rPr>
                <w:color w:val="000000"/>
                <w:sz w:val="18"/>
                <w:szCs w:val="18"/>
              </w:rPr>
            </w:pPr>
            <w:r w:rsidRPr="00573011">
              <w:rPr>
                <w:color w:val="000000"/>
                <w:sz w:val="18"/>
                <w:szCs w:val="18"/>
              </w:rPr>
              <w:t>Lowndes</w:t>
            </w:r>
          </w:p>
        </w:tc>
        <w:tc>
          <w:tcPr>
            <w:tcW w:w="807" w:type="dxa"/>
            <w:noWrap/>
            <w:vAlign w:val="center"/>
          </w:tcPr>
          <w:p w14:paraId="37FCD287" w14:textId="77777777" w:rsidR="00891A1C" w:rsidRPr="00573011" w:rsidRDefault="00891A1C" w:rsidP="003C1DCF">
            <w:pPr>
              <w:spacing w:after="0" w:line="240" w:lineRule="auto"/>
              <w:jc w:val="center"/>
              <w:rPr>
                <w:color w:val="000000"/>
                <w:sz w:val="18"/>
                <w:szCs w:val="18"/>
              </w:rPr>
            </w:pPr>
            <w:r w:rsidRPr="00573011">
              <w:rPr>
                <w:color w:val="000000"/>
                <w:sz w:val="18"/>
                <w:szCs w:val="18"/>
              </w:rPr>
              <w:t>2.5</w:t>
            </w:r>
          </w:p>
        </w:tc>
        <w:tc>
          <w:tcPr>
            <w:tcW w:w="0" w:type="auto"/>
            <w:noWrap/>
            <w:vAlign w:val="center"/>
          </w:tcPr>
          <w:p w14:paraId="7925481A" w14:textId="77777777" w:rsidR="00891A1C" w:rsidRPr="00573011" w:rsidRDefault="00891A1C" w:rsidP="003C1DCF">
            <w:pPr>
              <w:spacing w:after="0" w:line="240" w:lineRule="auto"/>
              <w:jc w:val="center"/>
              <w:rPr>
                <w:color w:val="000000"/>
                <w:sz w:val="18"/>
                <w:szCs w:val="18"/>
              </w:rPr>
            </w:pPr>
            <w:r w:rsidRPr="00573011">
              <w:rPr>
                <w:color w:val="000000"/>
                <w:sz w:val="18"/>
                <w:szCs w:val="18"/>
              </w:rPr>
              <w:t>30°48'39.5"N, 83°26'06.8"W</w:t>
            </w:r>
          </w:p>
        </w:tc>
        <w:tc>
          <w:tcPr>
            <w:tcW w:w="1720" w:type="dxa"/>
            <w:vAlign w:val="center"/>
          </w:tcPr>
          <w:p w14:paraId="264BFD17" w14:textId="77777777" w:rsidR="00891A1C" w:rsidRPr="00573011" w:rsidRDefault="00891A1C" w:rsidP="003C1DCF">
            <w:pPr>
              <w:spacing w:after="0" w:line="240" w:lineRule="auto"/>
              <w:jc w:val="center"/>
              <w:rPr>
                <w:color w:val="000000"/>
                <w:sz w:val="18"/>
                <w:szCs w:val="18"/>
              </w:rPr>
            </w:pPr>
            <w:r w:rsidRPr="00573011">
              <w:rPr>
                <w:color w:val="000000"/>
                <w:sz w:val="18"/>
                <w:szCs w:val="18"/>
              </w:rPr>
              <w:t>0016 001</w:t>
            </w:r>
          </w:p>
        </w:tc>
        <w:tc>
          <w:tcPr>
            <w:tcW w:w="1710" w:type="dxa"/>
            <w:noWrap/>
            <w:vAlign w:val="center"/>
          </w:tcPr>
          <w:p w14:paraId="4C3927B5" w14:textId="77777777" w:rsidR="00891A1C" w:rsidRPr="00573011" w:rsidRDefault="00891A1C" w:rsidP="003C1DCF">
            <w:pPr>
              <w:spacing w:after="0" w:line="240" w:lineRule="auto"/>
              <w:jc w:val="center"/>
              <w:rPr>
                <w:color w:val="000000"/>
                <w:sz w:val="18"/>
                <w:szCs w:val="18"/>
              </w:rPr>
            </w:pPr>
            <w:r w:rsidRPr="00573011">
              <w:rPr>
                <w:color w:val="000000"/>
                <w:sz w:val="18"/>
                <w:szCs w:val="18"/>
              </w:rPr>
              <w:t>Undeveloped</w:t>
            </w:r>
          </w:p>
        </w:tc>
      </w:tr>
      <w:bookmarkEnd w:id="1"/>
    </w:tbl>
    <w:p w14:paraId="664C6D23" w14:textId="77777777" w:rsidR="00B80DB6" w:rsidRPr="0038211D" w:rsidRDefault="00B80DB6" w:rsidP="00B80DB6">
      <w:pPr>
        <w:spacing w:after="120" w:line="240" w:lineRule="auto"/>
        <w:rPr>
          <w:rFonts w:eastAsia="Times New Roman" w:cs="Arial"/>
          <w:color w:val="000000"/>
          <w:sz w:val="24"/>
          <w:szCs w:val="24"/>
        </w:rPr>
      </w:pPr>
    </w:p>
    <w:p w14:paraId="1F7F7B33" w14:textId="6058F7E4" w:rsidR="005B41D8" w:rsidRDefault="005B41D8" w:rsidP="0038211D">
      <w:pPr>
        <w:spacing w:after="120" w:line="264" w:lineRule="auto"/>
        <w:rPr>
          <w:rFonts w:eastAsia="Times New Roman" w:cs="Arial"/>
          <w:color w:val="000000"/>
        </w:rPr>
      </w:pPr>
      <w:r w:rsidRPr="005B41D8">
        <w:rPr>
          <w:rFonts w:eastAsia="Times New Roman" w:cs="Arial"/>
          <w:color w:val="000000"/>
        </w:rPr>
        <w:t xml:space="preserve">The 347 RQG would utilize these HLZs for PR training activities, and routing to a particular HLZ is mission-dependent and variable from one mission to the next. Typical PR training missions include day-to-day training and more elaborate </w:t>
      </w:r>
      <w:r w:rsidR="00DD2D51">
        <w:rPr>
          <w:rFonts w:eastAsia="Times New Roman" w:cs="Arial"/>
          <w:color w:val="000000"/>
        </w:rPr>
        <w:t>monthly</w:t>
      </w:r>
      <w:r w:rsidRPr="005B41D8">
        <w:rPr>
          <w:rFonts w:eastAsia="Times New Roman" w:cs="Arial"/>
          <w:color w:val="000000"/>
        </w:rPr>
        <w:t xml:space="preserve"> training events.</w:t>
      </w:r>
    </w:p>
    <w:p w14:paraId="6F9F97DD" w14:textId="537736D5" w:rsidR="00B80DB6" w:rsidRPr="0038211D" w:rsidRDefault="00B80DB6" w:rsidP="0038211D">
      <w:pPr>
        <w:spacing w:after="120" w:line="264" w:lineRule="auto"/>
        <w:rPr>
          <w:rFonts w:eastAsia="Times New Roman" w:cs="Arial"/>
          <w:i/>
          <w:iCs/>
          <w:color w:val="000000"/>
        </w:rPr>
      </w:pPr>
      <w:r w:rsidRPr="00B80DB6">
        <w:rPr>
          <w:rFonts w:eastAsia="Times New Roman" w:cs="Arial"/>
          <w:i/>
          <w:iCs/>
          <w:color w:val="000000"/>
        </w:rPr>
        <w:t xml:space="preserve">Day-to-Day Training: </w:t>
      </w:r>
    </w:p>
    <w:p w14:paraId="61C71F17" w14:textId="77777777" w:rsidR="005B41D8" w:rsidRDefault="005B41D8" w:rsidP="0038211D">
      <w:pPr>
        <w:spacing w:after="120" w:line="264" w:lineRule="auto"/>
        <w:rPr>
          <w:rFonts w:eastAsia="Times New Roman" w:cs="Arial"/>
          <w:color w:val="000000"/>
        </w:rPr>
      </w:pPr>
      <w:r w:rsidRPr="005B41D8">
        <w:rPr>
          <w:rFonts w:eastAsia="Times New Roman" w:cs="Arial"/>
          <w:color w:val="000000"/>
        </w:rPr>
        <w:t>Day-to-day training involves typical flight training operations associated with tactical and remote training and fulfills the basic PR training requirements.</w:t>
      </w:r>
    </w:p>
    <w:p w14:paraId="1F18510A" w14:textId="02728B93" w:rsidR="00B80DB6" w:rsidRPr="0038211D" w:rsidRDefault="00B80DB6" w:rsidP="0038211D">
      <w:pPr>
        <w:spacing w:after="120" w:line="264" w:lineRule="auto"/>
        <w:rPr>
          <w:rFonts w:eastAsia="Times New Roman" w:cs="Arial"/>
          <w:i/>
          <w:iCs/>
          <w:color w:val="000000"/>
        </w:rPr>
      </w:pPr>
      <w:r w:rsidRPr="00B80DB6">
        <w:rPr>
          <w:rFonts w:eastAsia="Times New Roman" w:cs="Arial"/>
          <w:i/>
          <w:iCs/>
          <w:color w:val="000000"/>
        </w:rPr>
        <w:t xml:space="preserve">Helicopter Operations: </w:t>
      </w:r>
    </w:p>
    <w:p w14:paraId="71E6EDF8" w14:textId="502AD0E6" w:rsidR="00B80DB6" w:rsidRPr="0038211D" w:rsidRDefault="00B80DB6" w:rsidP="0038211D">
      <w:pPr>
        <w:spacing w:after="120" w:line="264" w:lineRule="auto"/>
        <w:rPr>
          <w:rFonts w:eastAsia="Times New Roman" w:cs="Arial"/>
          <w:color w:val="000000"/>
        </w:rPr>
      </w:pPr>
      <w:r w:rsidRPr="00B80DB6">
        <w:rPr>
          <w:rFonts w:eastAsia="Times New Roman" w:cs="Arial"/>
          <w:color w:val="000000"/>
        </w:rPr>
        <w:t xml:space="preserve">There would be </w:t>
      </w:r>
      <w:r w:rsidR="00DD2D51">
        <w:rPr>
          <w:rFonts w:eastAsia="Times New Roman" w:cs="Arial"/>
          <w:color w:val="000000"/>
        </w:rPr>
        <w:t>between two and</w:t>
      </w:r>
      <w:r w:rsidRPr="00B80DB6">
        <w:rPr>
          <w:rFonts w:eastAsia="Times New Roman" w:cs="Arial"/>
          <w:color w:val="000000"/>
        </w:rPr>
        <w:t xml:space="preserve"> six sorties per week at specific HLZs based on existing weather and mission needs. There are two HH-60s per sortie; sometimes the craft would split up, each going to different HLZs to practice. Night operations make up about 50 percent of total sorties, with approximately 20 percent occurring after 10:00 PM. Training is not typically conducted after midnight because the Moody AFB tower closes at 1:00 AM, and the aircraft need time to return to base. There is typically no flying on weekends or holidays. </w:t>
      </w:r>
    </w:p>
    <w:p w14:paraId="59997567" w14:textId="636649AE" w:rsidR="009A5C6E" w:rsidRPr="00573011" w:rsidRDefault="009A5C6E" w:rsidP="009A5C6E">
      <w:pPr>
        <w:pStyle w:val="NormalReport"/>
        <w:spacing w:before="0" w:after="180"/>
        <w:rPr>
          <w:i/>
          <w:iCs/>
          <w:lang w:val="en-US"/>
        </w:rPr>
      </w:pPr>
      <w:r w:rsidRPr="00573011">
        <w:rPr>
          <w:i/>
          <w:iCs/>
          <w:lang w:val="en-US"/>
        </w:rPr>
        <w:t>Opposing Forces</w:t>
      </w:r>
      <w:r>
        <w:rPr>
          <w:i/>
          <w:iCs/>
          <w:lang w:val="en-US"/>
        </w:rPr>
        <w:t xml:space="preserve"> Training</w:t>
      </w:r>
      <w:r w:rsidRPr="00573011">
        <w:rPr>
          <w:i/>
          <w:iCs/>
          <w:lang w:val="en-US"/>
        </w:rPr>
        <w:t>:</w:t>
      </w:r>
    </w:p>
    <w:p w14:paraId="7D4FB8C3" w14:textId="11566BA4" w:rsidR="009A5C6E" w:rsidRPr="00573011" w:rsidRDefault="009A5C6E" w:rsidP="00B71F8F">
      <w:pPr>
        <w:pStyle w:val="NormalReport"/>
        <w:overflowPunct/>
        <w:autoSpaceDE/>
        <w:autoSpaceDN/>
        <w:adjustRightInd/>
        <w:spacing w:before="0" w:after="120" w:line="264" w:lineRule="auto"/>
        <w:textAlignment w:val="auto"/>
        <w:rPr>
          <w:lang w:val="en-US"/>
        </w:rPr>
      </w:pPr>
      <w:r>
        <w:rPr>
          <w:lang w:val="en-US"/>
        </w:rPr>
        <w:t>Training activities with simulated opposing forces would</w:t>
      </w:r>
      <w:r w:rsidRPr="00573011">
        <w:rPr>
          <w:lang w:val="en-US"/>
        </w:rPr>
        <w:t xml:space="preserve"> include two ground vehicles and approximately ten personnel at each HLZ.</w:t>
      </w:r>
      <w:r>
        <w:rPr>
          <w:lang w:val="en-US"/>
        </w:rPr>
        <w:t xml:space="preserve"> </w:t>
      </w:r>
      <w:r w:rsidRPr="00573011">
        <w:rPr>
          <w:lang w:val="en-US"/>
        </w:rPr>
        <w:t>Personnel set up perimeters around the HLZ as “opposing forces” while one or two personnel act as “survivors”.</w:t>
      </w:r>
      <w:r>
        <w:rPr>
          <w:lang w:val="en-US"/>
        </w:rPr>
        <w:t xml:space="preserve"> </w:t>
      </w:r>
      <w:r w:rsidRPr="00573011">
        <w:rPr>
          <w:lang w:val="en-US"/>
        </w:rPr>
        <w:t>To provide for more realistic training, personnel utilize training munitions</w:t>
      </w:r>
      <w:r>
        <w:rPr>
          <w:lang w:val="en-US"/>
        </w:rPr>
        <w:t xml:space="preserve"> including rifle and carbine rounds, smoke cartridges, chemical light sticks, and ground burst simulators</w:t>
      </w:r>
      <w:r w:rsidRPr="00573011">
        <w:rPr>
          <w:lang w:val="en-US"/>
        </w:rPr>
        <w:t xml:space="preserve"> to create a realistic combat experience. All remnants (casings, trash, etc.) are collected at the end of the training session, and no rounds are fired from aircraft because shell casings cannot be collected effectively.</w:t>
      </w:r>
    </w:p>
    <w:p w14:paraId="12EF9507" w14:textId="41BE6BFD" w:rsidR="00731F51" w:rsidRDefault="009A5C6E" w:rsidP="00B71F8F">
      <w:pPr>
        <w:spacing w:after="120" w:line="264" w:lineRule="auto"/>
      </w:pPr>
      <w:r w:rsidRPr="00573011">
        <w:t>Training activities may also include towable or inflatable full-sized mock-ups of threats as well as portable low</w:t>
      </w:r>
      <w:r w:rsidR="00125AA7">
        <w:t>-</w:t>
      </w:r>
      <w:r w:rsidRPr="00573011">
        <w:t>power radar emitters, infrared/ultraviolet threat emitters, eye-safe laser spotting, and other visual threat representation equipment. For realism and other simulated operational requirements, the threat setup areas would generally be on or within one mile of the exercise area on the side of roads, right</w:t>
      </w:r>
      <w:r w:rsidR="00F6455B">
        <w:t>s</w:t>
      </w:r>
      <w:r w:rsidRPr="00573011">
        <w:t xml:space="preserve"> of way, or other approved areas.</w:t>
      </w:r>
      <w:r w:rsidR="00731F51">
        <w:br w:type="page"/>
      </w:r>
    </w:p>
    <w:p w14:paraId="7C38A75C" w14:textId="77777777" w:rsidR="00B80DB6" w:rsidRPr="0038211D" w:rsidRDefault="00B80DB6" w:rsidP="0038211D">
      <w:pPr>
        <w:spacing w:after="120" w:line="264" w:lineRule="auto"/>
        <w:rPr>
          <w:rFonts w:eastAsia="Times New Roman" w:cs="Arial"/>
          <w:b/>
          <w:bCs/>
          <w:color w:val="000000"/>
        </w:rPr>
      </w:pPr>
      <w:r w:rsidRPr="00B80DB6">
        <w:rPr>
          <w:rFonts w:eastAsia="Times New Roman" w:cs="Arial"/>
          <w:b/>
          <w:bCs/>
          <w:color w:val="000000"/>
        </w:rPr>
        <w:lastRenderedPageBreak/>
        <w:t xml:space="preserve">NO ACTION ALTERNATIVE </w:t>
      </w:r>
    </w:p>
    <w:p w14:paraId="0461C0EA" w14:textId="4141A094" w:rsidR="00B80DB6" w:rsidRPr="0038211D" w:rsidRDefault="00A313CC" w:rsidP="0038211D">
      <w:pPr>
        <w:spacing w:after="120" w:line="264" w:lineRule="auto"/>
        <w:rPr>
          <w:rFonts w:eastAsia="Times New Roman" w:cs="Arial"/>
          <w:color w:val="000000"/>
        </w:rPr>
      </w:pPr>
      <w:r w:rsidRPr="00A313CC">
        <w:rPr>
          <w:rFonts w:eastAsia="Times New Roman" w:cs="Arial"/>
          <w:color w:val="000000"/>
        </w:rPr>
        <w:t xml:space="preserve">Under the No-Action Alternative, the </w:t>
      </w:r>
      <w:r w:rsidR="00891A1C">
        <w:rPr>
          <w:rFonts w:eastAsia="Times New Roman" w:cs="Arial"/>
          <w:color w:val="000000"/>
        </w:rPr>
        <w:t>DAF</w:t>
      </w:r>
      <w:r w:rsidRPr="00A313CC">
        <w:rPr>
          <w:rFonts w:eastAsia="Times New Roman" w:cs="Arial"/>
          <w:color w:val="000000"/>
        </w:rPr>
        <w:t xml:space="preserve"> would not enter into agreements with the property owners to lease the proposed parcels.</w:t>
      </w:r>
      <w:r w:rsidR="00B80DB6" w:rsidRPr="00B80DB6">
        <w:rPr>
          <w:rFonts w:eastAsia="Times New Roman" w:cs="Arial"/>
          <w:color w:val="000000"/>
        </w:rPr>
        <w:t xml:space="preserve"> </w:t>
      </w:r>
      <w:r w:rsidRPr="00A313CC">
        <w:rPr>
          <w:rFonts w:eastAsia="Times New Roman" w:cs="Arial"/>
          <w:color w:val="000000"/>
        </w:rPr>
        <w:t xml:space="preserve">The </w:t>
      </w:r>
      <w:r w:rsidR="00891A1C">
        <w:rPr>
          <w:rFonts w:eastAsia="Times New Roman" w:cs="Arial"/>
          <w:color w:val="000000"/>
        </w:rPr>
        <w:t>DAF</w:t>
      </w:r>
      <w:r w:rsidRPr="00A313CC">
        <w:rPr>
          <w:rFonts w:eastAsia="Times New Roman" w:cs="Arial"/>
          <w:color w:val="000000"/>
        </w:rPr>
        <w:t xml:space="preserve"> would continue to experience scheduling conflicts and lack of space in current HLZ areas.</w:t>
      </w:r>
      <w:r>
        <w:rPr>
          <w:rFonts w:eastAsia="Times New Roman" w:cs="Arial"/>
          <w:color w:val="000000"/>
        </w:rPr>
        <w:t xml:space="preserve"> </w:t>
      </w:r>
      <w:r w:rsidRPr="00A313CC">
        <w:rPr>
          <w:rFonts w:eastAsia="Times New Roman" w:cs="Arial"/>
          <w:color w:val="000000"/>
        </w:rPr>
        <w:t>Training proficiency and currency would continue to be lost, increasing man</w:t>
      </w:r>
      <w:r w:rsidR="00125AA7">
        <w:rPr>
          <w:rFonts w:eastAsia="Times New Roman" w:cs="Arial"/>
          <w:color w:val="000000"/>
        </w:rPr>
        <w:t>-</w:t>
      </w:r>
      <w:r w:rsidRPr="00A313CC">
        <w:rPr>
          <w:rFonts w:eastAsia="Times New Roman" w:cs="Arial"/>
          <w:color w:val="000000"/>
        </w:rPr>
        <w:t>hour costs over time</w:t>
      </w:r>
      <w:r>
        <w:rPr>
          <w:rFonts w:eastAsia="Times New Roman" w:cs="Arial"/>
          <w:color w:val="000000"/>
        </w:rPr>
        <w:t>.</w:t>
      </w:r>
      <w:r w:rsidR="00B80DB6" w:rsidRPr="00B80DB6">
        <w:rPr>
          <w:rFonts w:eastAsia="Times New Roman" w:cs="Arial"/>
          <w:color w:val="000000"/>
        </w:rPr>
        <w:t xml:space="preserve"> As a result, the No Action Alternative would not meet the purpose and need of the Proposed Action. </w:t>
      </w:r>
    </w:p>
    <w:p w14:paraId="6D25A552" w14:textId="77777777" w:rsidR="00B80DB6" w:rsidRPr="0038211D" w:rsidRDefault="00B80DB6" w:rsidP="0038211D">
      <w:pPr>
        <w:spacing w:after="120" w:line="264" w:lineRule="auto"/>
        <w:rPr>
          <w:rFonts w:eastAsia="Times New Roman" w:cs="Arial"/>
          <w:b/>
          <w:bCs/>
          <w:color w:val="000000"/>
        </w:rPr>
      </w:pPr>
      <w:r w:rsidRPr="00B80DB6">
        <w:rPr>
          <w:rFonts w:eastAsia="Times New Roman" w:cs="Arial"/>
          <w:b/>
          <w:bCs/>
          <w:color w:val="000000"/>
        </w:rPr>
        <w:t xml:space="preserve">SUMMARY OF FINDINGS </w:t>
      </w:r>
    </w:p>
    <w:p w14:paraId="26F6211A" w14:textId="6B07928E" w:rsidR="00F15B95" w:rsidRDefault="00B80DB6" w:rsidP="0038211D">
      <w:pPr>
        <w:spacing w:after="120" w:line="264" w:lineRule="auto"/>
        <w:rPr>
          <w:rFonts w:eastAsia="Times New Roman" w:cs="Arial"/>
          <w:color w:val="000000"/>
        </w:rPr>
      </w:pPr>
      <w:r w:rsidRPr="00B80DB6">
        <w:rPr>
          <w:rFonts w:eastAsia="Times New Roman" w:cs="Arial"/>
          <w:color w:val="000000"/>
        </w:rPr>
        <w:t xml:space="preserve">The </w:t>
      </w:r>
      <w:r w:rsidR="00891A1C">
        <w:rPr>
          <w:rFonts w:eastAsia="Times New Roman" w:cs="Arial"/>
          <w:color w:val="000000"/>
        </w:rPr>
        <w:t>DAF</w:t>
      </w:r>
      <w:r w:rsidRPr="00B80DB6">
        <w:rPr>
          <w:rFonts w:eastAsia="Times New Roman" w:cs="Arial"/>
          <w:color w:val="000000"/>
        </w:rPr>
        <w:t xml:space="preserve"> has concluded that no significant adverse effects would result to the following resources as a result of the Proposed Action: </w:t>
      </w:r>
      <w:r w:rsidR="00F15B95">
        <w:rPr>
          <w:rFonts w:eastAsia="Times New Roman" w:cs="Arial"/>
          <w:color w:val="000000"/>
        </w:rPr>
        <w:t xml:space="preserve">noise, </w:t>
      </w:r>
      <w:r w:rsidR="001132D7">
        <w:rPr>
          <w:rFonts w:eastAsia="Times New Roman" w:cs="Arial"/>
          <w:color w:val="000000"/>
        </w:rPr>
        <w:t xml:space="preserve">air quality, water resources, safety and occupational health, biological and natural resources, or socioeconomics, environmental justice, or transportation. </w:t>
      </w:r>
      <w:r w:rsidRPr="00B80DB6">
        <w:rPr>
          <w:rFonts w:eastAsia="Times New Roman" w:cs="Arial"/>
          <w:color w:val="000000"/>
        </w:rPr>
        <w:t>No significant adverse cumulative impacts would result from activities associated with the Proposed Action when considered with past, present, or reasonably foreseeable future projects at Moody AFB.</w:t>
      </w:r>
    </w:p>
    <w:p w14:paraId="587D83B5" w14:textId="28365379" w:rsidR="00B80DB6" w:rsidRPr="0038211D" w:rsidRDefault="00B80DB6" w:rsidP="0038211D">
      <w:pPr>
        <w:spacing w:after="120" w:line="264" w:lineRule="auto"/>
        <w:rPr>
          <w:rFonts w:eastAsia="Times New Roman" w:cs="Arial"/>
          <w:color w:val="000000"/>
        </w:rPr>
      </w:pPr>
      <w:r w:rsidRPr="00B80DB6">
        <w:rPr>
          <w:rFonts w:eastAsia="Times New Roman" w:cs="Arial"/>
          <w:color w:val="000000"/>
        </w:rPr>
        <w:t xml:space="preserve">Under the Proposed Action there would be no ground disturbance or construction activities; only aircraft operations and noninvasive ground training. As part of Proposed Action implementation, the </w:t>
      </w:r>
      <w:r w:rsidR="00891A1C">
        <w:rPr>
          <w:rFonts w:eastAsia="Times New Roman" w:cs="Arial"/>
          <w:color w:val="000000"/>
        </w:rPr>
        <w:t>DAF</w:t>
      </w:r>
      <w:r w:rsidRPr="00B80DB6">
        <w:rPr>
          <w:rFonts w:eastAsia="Times New Roman" w:cs="Arial"/>
          <w:color w:val="000000"/>
        </w:rPr>
        <w:t xml:space="preserve"> would implement the special considerations identified in Section 2.</w:t>
      </w:r>
      <w:r w:rsidR="009758E1">
        <w:rPr>
          <w:rFonts w:eastAsia="Times New Roman" w:cs="Arial"/>
          <w:color w:val="000000"/>
        </w:rPr>
        <w:t>2</w:t>
      </w:r>
      <w:r w:rsidRPr="00B80DB6">
        <w:rPr>
          <w:rFonts w:eastAsia="Times New Roman" w:cs="Arial"/>
          <w:color w:val="000000"/>
        </w:rPr>
        <w:t xml:space="preserve"> of the EA, which would serve to minimize potential impacts. Such considerations include the avoidance of </w:t>
      </w:r>
      <w:r w:rsidR="00CF1DA2">
        <w:rPr>
          <w:rFonts w:eastAsia="Times New Roman" w:cs="Arial"/>
          <w:color w:val="000000"/>
        </w:rPr>
        <w:t>w</w:t>
      </w:r>
      <w:r w:rsidR="009758E1">
        <w:rPr>
          <w:rFonts w:eastAsia="Times New Roman" w:cs="Arial"/>
          <w:color w:val="000000"/>
        </w:rPr>
        <w:t>ood stork rookeries and bald eagle nests</w:t>
      </w:r>
      <w:r w:rsidRPr="00B80DB6">
        <w:rPr>
          <w:rFonts w:eastAsia="Times New Roman" w:cs="Arial"/>
          <w:color w:val="000000"/>
        </w:rPr>
        <w:t xml:space="preserve">, landowner/resident coordination and notification, and </w:t>
      </w:r>
      <w:r w:rsidR="009758E1">
        <w:rPr>
          <w:rFonts w:eastAsia="Times New Roman" w:cs="Arial"/>
          <w:color w:val="000000"/>
        </w:rPr>
        <w:t>avoidance of residences by 1 lateral mile</w:t>
      </w:r>
      <w:r w:rsidRPr="00B80DB6">
        <w:rPr>
          <w:rFonts w:eastAsia="Times New Roman" w:cs="Arial"/>
          <w:color w:val="000000"/>
        </w:rPr>
        <w:t xml:space="preserve"> to minimize safety and noise impacts. The main impact driver for most resource areas is noise resulting from aircraft operations and munitions use. Special considerations identified in Section 2.</w:t>
      </w:r>
      <w:r w:rsidR="009758E1">
        <w:rPr>
          <w:rFonts w:eastAsia="Times New Roman" w:cs="Arial"/>
          <w:color w:val="000000"/>
        </w:rPr>
        <w:t>2</w:t>
      </w:r>
      <w:r w:rsidRPr="00B80DB6">
        <w:rPr>
          <w:rFonts w:eastAsia="Times New Roman" w:cs="Arial"/>
          <w:color w:val="000000"/>
        </w:rPr>
        <w:t xml:space="preserve"> as part of the Proposed Action would minimize noise impacts to an insignificant level and therefore minimize impacts to land use, socioeconomics, and biological resources. Based on the scope of the Proposed Action and accounting for the special considerations identified in Section 2.</w:t>
      </w:r>
      <w:r w:rsidR="009758E1">
        <w:rPr>
          <w:rFonts w:eastAsia="Times New Roman" w:cs="Arial"/>
          <w:color w:val="000000"/>
        </w:rPr>
        <w:t>2</w:t>
      </w:r>
      <w:r w:rsidRPr="00B80DB6">
        <w:rPr>
          <w:rFonts w:eastAsia="Times New Roman" w:cs="Arial"/>
          <w:color w:val="000000"/>
        </w:rPr>
        <w:t xml:space="preserve">, issues with minimal or no impacts were identified through a preliminary screening process. The following issues were not carried forward for detailed analyses in the EA: </w:t>
      </w:r>
      <w:r w:rsidR="00FD1EC9" w:rsidRPr="00FD1EC9">
        <w:rPr>
          <w:rFonts w:eastAsia="Times New Roman" w:cs="Arial"/>
          <w:color w:val="000000"/>
        </w:rPr>
        <w:t>Hazardous Materials/Waste</w:t>
      </w:r>
      <w:r w:rsidR="00FD1EC9">
        <w:rPr>
          <w:rFonts w:eastAsia="Times New Roman" w:cs="Arial"/>
          <w:color w:val="000000"/>
        </w:rPr>
        <w:t xml:space="preserve">, </w:t>
      </w:r>
      <w:r w:rsidR="00FD1EC9" w:rsidRPr="00FD1EC9">
        <w:rPr>
          <w:rFonts w:eastAsia="Times New Roman" w:cs="Arial"/>
          <w:color w:val="000000"/>
        </w:rPr>
        <w:t>Cultural Resources</w:t>
      </w:r>
      <w:r w:rsidR="00FD1EC9">
        <w:rPr>
          <w:rFonts w:eastAsia="Times New Roman" w:cs="Arial"/>
          <w:color w:val="000000"/>
        </w:rPr>
        <w:t xml:space="preserve"> </w:t>
      </w:r>
      <w:r w:rsidR="00FD1EC9" w:rsidRPr="00B80DB6">
        <w:rPr>
          <w:rFonts w:eastAsia="Times New Roman" w:cs="Arial"/>
          <w:color w:val="000000"/>
        </w:rPr>
        <w:t xml:space="preserve">(the </w:t>
      </w:r>
      <w:r w:rsidR="00891A1C">
        <w:rPr>
          <w:rFonts w:eastAsia="Times New Roman" w:cs="Arial"/>
          <w:color w:val="000000"/>
        </w:rPr>
        <w:t>DAF</w:t>
      </w:r>
      <w:r w:rsidR="00FD1EC9" w:rsidRPr="00B80DB6">
        <w:rPr>
          <w:rFonts w:eastAsia="Times New Roman" w:cs="Arial"/>
          <w:color w:val="000000"/>
        </w:rPr>
        <w:t xml:space="preserve"> </w:t>
      </w:r>
      <w:r w:rsidR="00DD2D51">
        <w:rPr>
          <w:rFonts w:eastAsia="Times New Roman" w:cs="Arial"/>
          <w:color w:val="000000"/>
        </w:rPr>
        <w:t>consulted</w:t>
      </w:r>
      <w:r w:rsidR="00FD1EC9" w:rsidRPr="00B80DB6">
        <w:rPr>
          <w:rFonts w:eastAsia="Times New Roman" w:cs="Arial"/>
          <w:color w:val="000000"/>
        </w:rPr>
        <w:t xml:space="preserve"> with the Georgia State Historic Preservation Officer)</w:t>
      </w:r>
      <w:r w:rsidR="00FD1EC9">
        <w:rPr>
          <w:rFonts w:eastAsia="Times New Roman" w:cs="Arial"/>
          <w:color w:val="000000"/>
        </w:rPr>
        <w:t xml:space="preserve">, </w:t>
      </w:r>
      <w:r w:rsidR="00FD1EC9" w:rsidRPr="00FD1EC9">
        <w:rPr>
          <w:rFonts w:eastAsia="Times New Roman" w:cs="Arial"/>
          <w:color w:val="000000"/>
        </w:rPr>
        <w:t>Earth Resources</w:t>
      </w:r>
      <w:r w:rsidR="00FD1EC9">
        <w:rPr>
          <w:rFonts w:eastAsia="Times New Roman" w:cs="Arial"/>
          <w:color w:val="000000"/>
        </w:rPr>
        <w:t xml:space="preserve">, </w:t>
      </w:r>
      <w:r w:rsidR="00FD1EC9" w:rsidRPr="00FD1EC9">
        <w:rPr>
          <w:rFonts w:eastAsia="Times New Roman" w:cs="Arial"/>
          <w:color w:val="000000"/>
        </w:rPr>
        <w:t>Utilities</w:t>
      </w:r>
      <w:r w:rsidR="00FD1EC9">
        <w:rPr>
          <w:rFonts w:eastAsia="Times New Roman" w:cs="Arial"/>
          <w:color w:val="000000"/>
        </w:rPr>
        <w:t xml:space="preserve">, </w:t>
      </w:r>
      <w:r w:rsidR="00FD1EC9" w:rsidRPr="00FD1EC9">
        <w:rPr>
          <w:rFonts w:eastAsia="Times New Roman" w:cs="Arial"/>
          <w:color w:val="000000"/>
        </w:rPr>
        <w:t>Airspace</w:t>
      </w:r>
      <w:r w:rsidR="009758E1">
        <w:rPr>
          <w:rFonts w:eastAsia="Times New Roman" w:cs="Arial"/>
          <w:color w:val="000000"/>
        </w:rPr>
        <w:t>, and Land Use</w:t>
      </w:r>
      <w:r w:rsidR="00FD1EC9">
        <w:rPr>
          <w:rFonts w:eastAsia="Times New Roman" w:cs="Arial"/>
          <w:color w:val="000000"/>
        </w:rPr>
        <w:t xml:space="preserve">. </w:t>
      </w:r>
      <w:r w:rsidRPr="00B80DB6">
        <w:rPr>
          <w:rFonts w:eastAsia="Times New Roman" w:cs="Arial"/>
          <w:color w:val="000000"/>
        </w:rPr>
        <w:t xml:space="preserve">The </w:t>
      </w:r>
      <w:r w:rsidR="005901BA" w:rsidRPr="00B80DB6">
        <w:rPr>
          <w:rFonts w:eastAsia="Times New Roman" w:cs="Arial"/>
          <w:color w:val="000000"/>
        </w:rPr>
        <w:t>rationale</w:t>
      </w:r>
      <w:r w:rsidRPr="00B80DB6">
        <w:rPr>
          <w:rFonts w:eastAsia="Times New Roman" w:cs="Arial"/>
          <w:color w:val="000000"/>
        </w:rPr>
        <w:t xml:space="preserve"> for dismissal of these resource areas is provided in Section 1.</w:t>
      </w:r>
      <w:r w:rsidR="008C5574" w:rsidRPr="008C5574">
        <w:rPr>
          <w:rFonts w:eastAsia="Times New Roman" w:cs="Arial"/>
          <w:color w:val="000000"/>
        </w:rPr>
        <w:t>5</w:t>
      </w:r>
      <w:r w:rsidRPr="00B80DB6">
        <w:rPr>
          <w:rFonts w:eastAsia="Times New Roman" w:cs="Arial"/>
          <w:color w:val="000000"/>
        </w:rPr>
        <w:t>.1 of the EA.</w:t>
      </w:r>
    </w:p>
    <w:p w14:paraId="5BB9027A" w14:textId="039AFE09" w:rsidR="00B80DB6" w:rsidRDefault="00B80DB6" w:rsidP="0038211D">
      <w:pPr>
        <w:spacing w:after="120" w:line="264" w:lineRule="auto"/>
        <w:rPr>
          <w:rFonts w:eastAsia="Times New Roman" w:cs="Arial"/>
          <w:color w:val="000000"/>
        </w:rPr>
      </w:pPr>
      <w:r w:rsidRPr="00B80DB6">
        <w:rPr>
          <w:rFonts w:eastAsia="Times New Roman" w:cs="Arial"/>
          <w:b/>
          <w:bCs/>
          <w:color w:val="000000"/>
        </w:rPr>
        <w:t>Noise</w:t>
      </w:r>
      <w:r w:rsidRPr="00B80DB6">
        <w:rPr>
          <w:rFonts w:eastAsia="Times New Roman" w:cs="Arial"/>
          <w:color w:val="000000"/>
        </w:rPr>
        <w:t xml:space="preserve"> – Noise is the largest impact driver associated with the Proposed Action. Overall, HLZ training noise associated with proposed HLZ training would be expected to be annoying to certain nearby residents. However, no impacts other than annoyance would be expected to occur, and nearby residences would be notified prior to scheduling </w:t>
      </w:r>
      <w:r w:rsidR="002C1420">
        <w:rPr>
          <w:rFonts w:eastAsia="Times New Roman" w:cs="Arial"/>
          <w:color w:val="000000"/>
        </w:rPr>
        <w:t xml:space="preserve">opposing force </w:t>
      </w:r>
      <w:r w:rsidRPr="00B80DB6">
        <w:rPr>
          <w:rFonts w:eastAsia="Times New Roman" w:cs="Arial"/>
          <w:color w:val="000000"/>
        </w:rPr>
        <w:t xml:space="preserve">training activities. </w:t>
      </w:r>
      <w:r w:rsidR="009758E1">
        <w:rPr>
          <w:rFonts w:eastAsia="Times New Roman" w:cs="Arial"/>
          <w:color w:val="000000"/>
        </w:rPr>
        <w:t>N</w:t>
      </w:r>
      <w:r w:rsidRPr="00B80DB6">
        <w:rPr>
          <w:rFonts w:eastAsia="Times New Roman" w:cs="Arial"/>
          <w:color w:val="000000"/>
        </w:rPr>
        <w:t xml:space="preserve">o large quantities of land would experience noise greater than 65 </w:t>
      </w:r>
      <w:r w:rsidR="00042EE7">
        <w:rPr>
          <w:rFonts w:eastAsia="Times New Roman" w:cs="Arial"/>
          <w:color w:val="000000"/>
        </w:rPr>
        <w:t>decibels (</w:t>
      </w:r>
      <w:r w:rsidRPr="00B80DB6">
        <w:rPr>
          <w:rFonts w:eastAsia="Times New Roman" w:cs="Arial"/>
          <w:color w:val="000000"/>
        </w:rPr>
        <w:t>dB</w:t>
      </w:r>
      <w:r w:rsidR="00042EE7">
        <w:rPr>
          <w:rFonts w:eastAsia="Times New Roman" w:cs="Arial"/>
          <w:color w:val="000000"/>
        </w:rPr>
        <w:t>)</w:t>
      </w:r>
      <w:r w:rsidRPr="00B80DB6">
        <w:rPr>
          <w:rFonts w:eastAsia="Times New Roman" w:cs="Arial"/>
          <w:color w:val="000000"/>
        </w:rPr>
        <w:t xml:space="preserve"> </w:t>
      </w:r>
      <w:r w:rsidR="00042EE7">
        <w:rPr>
          <w:rFonts w:eastAsia="Times New Roman" w:cs="Arial"/>
          <w:color w:val="000000"/>
        </w:rPr>
        <w:t>Day-Night Level (</w:t>
      </w:r>
      <w:r w:rsidRPr="00B80DB6">
        <w:rPr>
          <w:rFonts w:eastAsia="Times New Roman" w:cs="Arial"/>
          <w:color w:val="000000"/>
        </w:rPr>
        <w:t>DNL</w:t>
      </w:r>
      <w:r w:rsidR="00042EE7">
        <w:rPr>
          <w:rFonts w:eastAsia="Times New Roman" w:cs="Arial"/>
          <w:color w:val="000000"/>
        </w:rPr>
        <w:t>)</w:t>
      </w:r>
      <w:r w:rsidRPr="00B80DB6">
        <w:rPr>
          <w:rFonts w:eastAsia="Times New Roman" w:cs="Arial"/>
          <w:color w:val="000000"/>
        </w:rPr>
        <w:t>, nor would any residences</w:t>
      </w:r>
      <w:r w:rsidR="008E7C27">
        <w:rPr>
          <w:rFonts w:eastAsia="Times New Roman" w:cs="Arial"/>
          <w:color w:val="000000"/>
        </w:rPr>
        <w:t xml:space="preserve"> or noise sensitive areas</w:t>
      </w:r>
      <w:r w:rsidRPr="00B80DB6">
        <w:rPr>
          <w:rFonts w:eastAsia="Times New Roman" w:cs="Arial"/>
          <w:color w:val="000000"/>
        </w:rPr>
        <w:t xml:space="preserve"> be exposed to greater than 75 dB DNL or be at risk of damage to hearing</w:t>
      </w:r>
      <w:r w:rsidR="009758E1">
        <w:rPr>
          <w:rFonts w:eastAsia="Times New Roman" w:cs="Arial"/>
          <w:color w:val="000000"/>
        </w:rPr>
        <w:t>. Therefore,</w:t>
      </w:r>
      <w:r w:rsidRPr="00B80DB6">
        <w:rPr>
          <w:rFonts w:eastAsia="Times New Roman" w:cs="Arial"/>
          <w:color w:val="000000"/>
        </w:rPr>
        <w:t xml:space="preserve"> no significant noise impacts have been identified. </w:t>
      </w:r>
    </w:p>
    <w:p w14:paraId="535D28AA" w14:textId="77777777" w:rsidR="002C1420" w:rsidRDefault="00C76A9C" w:rsidP="0038211D">
      <w:pPr>
        <w:spacing w:after="120" w:line="264" w:lineRule="auto"/>
        <w:rPr>
          <w:rFonts w:eastAsia="Times New Roman" w:cs="Arial"/>
          <w:color w:val="000000"/>
        </w:rPr>
      </w:pPr>
      <w:r w:rsidRPr="00C76A9C">
        <w:rPr>
          <w:rFonts w:eastAsia="Times New Roman" w:cs="Arial"/>
          <w:b/>
          <w:bCs/>
          <w:color w:val="000000"/>
        </w:rPr>
        <w:t>Air Quality</w:t>
      </w:r>
      <w:r>
        <w:rPr>
          <w:rFonts w:eastAsia="Times New Roman" w:cs="Arial"/>
          <w:color w:val="000000"/>
        </w:rPr>
        <w:t xml:space="preserve"> – </w:t>
      </w:r>
      <w:r w:rsidR="002E306B" w:rsidRPr="002E306B">
        <w:rPr>
          <w:rFonts w:eastAsia="Times New Roman" w:cs="Arial"/>
          <w:color w:val="000000"/>
        </w:rPr>
        <w:t xml:space="preserve">Air pollutant emissions including </w:t>
      </w:r>
      <w:r w:rsidR="002C1420">
        <w:rPr>
          <w:rFonts w:eastAsia="Times New Roman" w:cs="Arial"/>
          <w:color w:val="000000"/>
        </w:rPr>
        <w:t>carbon monoxide (</w:t>
      </w:r>
      <w:r w:rsidR="002E306B" w:rsidRPr="002E306B">
        <w:rPr>
          <w:rFonts w:eastAsia="Times New Roman" w:cs="Arial"/>
          <w:color w:val="000000"/>
        </w:rPr>
        <w:t>CO</w:t>
      </w:r>
      <w:r w:rsidR="002C1420">
        <w:rPr>
          <w:rFonts w:eastAsia="Times New Roman" w:cs="Arial"/>
          <w:color w:val="000000"/>
        </w:rPr>
        <w:t>)</w:t>
      </w:r>
      <w:r w:rsidR="002E306B" w:rsidRPr="002E306B">
        <w:rPr>
          <w:rFonts w:eastAsia="Times New Roman" w:cs="Arial"/>
          <w:color w:val="000000"/>
        </w:rPr>
        <w:t xml:space="preserve">, </w:t>
      </w:r>
      <w:r w:rsidR="00042EE7" w:rsidRPr="00042EE7">
        <w:rPr>
          <w:rFonts w:eastAsia="Times New Roman" w:cs="Arial"/>
          <w:color w:val="000000"/>
        </w:rPr>
        <w:t xml:space="preserve">nitrogen oxides </w:t>
      </w:r>
      <w:r w:rsidR="00042EE7">
        <w:rPr>
          <w:rFonts w:eastAsia="Times New Roman" w:cs="Arial"/>
          <w:color w:val="000000"/>
        </w:rPr>
        <w:t>(</w:t>
      </w:r>
      <w:r w:rsidR="002E306B" w:rsidRPr="002E306B">
        <w:rPr>
          <w:rFonts w:eastAsia="Times New Roman" w:cs="Arial"/>
          <w:color w:val="000000"/>
        </w:rPr>
        <w:t>NO</w:t>
      </w:r>
      <w:r w:rsidR="00042EE7" w:rsidRPr="00042EE7">
        <w:rPr>
          <w:rFonts w:eastAsia="Times New Roman" w:cs="Arial"/>
          <w:color w:val="000000"/>
          <w:vertAlign w:val="subscript"/>
        </w:rPr>
        <w:t>X</w:t>
      </w:r>
      <w:r w:rsidR="00042EE7">
        <w:rPr>
          <w:rFonts w:eastAsia="Times New Roman" w:cs="Arial"/>
          <w:color w:val="000000"/>
        </w:rPr>
        <w:t>),</w:t>
      </w:r>
      <w:r w:rsidR="002E306B" w:rsidRPr="002E306B">
        <w:rPr>
          <w:rFonts w:eastAsia="Times New Roman" w:cs="Arial"/>
          <w:color w:val="000000"/>
        </w:rPr>
        <w:t xml:space="preserve"> </w:t>
      </w:r>
      <w:r w:rsidR="00042EE7" w:rsidRPr="00042EE7">
        <w:rPr>
          <w:rFonts w:eastAsia="Times New Roman" w:cs="Arial"/>
          <w:color w:val="000000"/>
        </w:rPr>
        <w:t xml:space="preserve">particulate matter less than or equal to </w:t>
      </w:r>
      <w:r w:rsidR="00042EE7">
        <w:rPr>
          <w:rFonts w:eastAsia="Times New Roman" w:cs="Arial"/>
          <w:color w:val="000000"/>
        </w:rPr>
        <w:t>10</w:t>
      </w:r>
      <w:r w:rsidR="00042EE7" w:rsidRPr="00042EE7">
        <w:rPr>
          <w:rFonts w:eastAsia="Times New Roman" w:cs="Arial"/>
          <w:color w:val="000000"/>
        </w:rPr>
        <w:t xml:space="preserve"> micrometers </w:t>
      </w:r>
      <w:r w:rsidR="00042EE7">
        <w:rPr>
          <w:rFonts w:eastAsia="Times New Roman" w:cs="Arial"/>
          <w:color w:val="000000"/>
        </w:rPr>
        <w:t>(</w:t>
      </w:r>
      <w:r w:rsidR="002E306B" w:rsidRPr="002E306B">
        <w:rPr>
          <w:rFonts w:eastAsia="Times New Roman" w:cs="Arial"/>
          <w:color w:val="000000"/>
        </w:rPr>
        <w:t>PM</w:t>
      </w:r>
      <w:r w:rsidR="002E306B" w:rsidRPr="00CA44EE">
        <w:rPr>
          <w:rFonts w:eastAsia="Times New Roman" w:cs="Arial"/>
          <w:color w:val="000000"/>
          <w:vertAlign w:val="subscript"/>
        </w:rPr>
        <w:t>10</w:t>
      </w:r>
      <w:r w:rsidR="00042EE7">
        <w:rPr>
          <w:rFonts w:eastAsia="Times New Roman" w:cs="Arial"/>
          <w:color w:val="000000"/>
        </w:rPr>
        <w:t>),</w:t>
      </w:r>
      <w:r w:rsidR="002E306B" w:rsidRPr="002E306B">
        <w:rPr>
          <w:rFonts w:eastAsia="Times New Roman" w:cs="Arial"/>
          <w:color w:val="000000"/>
        </w:rPr>
        <w:t xml:space="preserve"> </w:t>
      </w:r>
      <w:r w:rsidR="00042EE7" w:rsidRPr="00042EE7">
        <w:rPr>
          <w:rFonts w:eastAsia="Times New Roman" w:cs="Arial"/>
          <w:color w:val="000000"/>
        </w:rPr>
        <w:t xml:space="preserve">particulate matter less than or equal to </w:t>
      </w:r>
      <w:r w:rsidR="00042EE7">
        <w:rPr>
          <w:rFonts w:eastAsia="Times New Roman" w:cs="Arial"/>
          <w:color w:val="000000"/>
        </w:rPr>
        <w:t>2.5</w:t>
      </w:r>
      <w:r w:rsidR="00042EE7" w:rsidRPr="00042EE7">
        <w:rPr>
          <w:rFonts w:eastAsia="Times New Roman" w:cs="Arial"/>
          <w:color w:val="000000"/>
        </w:rPr>
        <w:t xml:space="preserve"> micrometers </w:t>
      </w:r>
      <w:r w:rsidR="00042EE7">
        <w:rPr>
          <w:rFonts w:eastAsia="Times New Roman" w:cs="Arial"/>
          <w:color w:val="000000"/>
        </w:rPr>
        <w:t>(</w:t>
      </w:r>
      <w:r w:rsidR="002E306B" w:rsidRPr="002E306B">
        <w:rPr>
          <w:rFonts w:eastAsia="Times New Roman" w:cs="Arial"/>
          <w:color w:val="000000"/>
        </w:rPr>
        <w:t>PM</w:t>
      </w:r>
      <w:r w:rsidR="002E306B" w:rsidRPr="00CA44EE">
        <w:rPr>
          <w:rFonts w:eastAsia="Times New Roman" w:cs="Arial"/>
          <w:color w:val="000000"/>
          <w:vertAlign w:val="subscript"/>
        </w:rPr>
        <w:t>2.5</w:t>
      </w:r>
      <w:r w:rsidR="00042EE7">
        <w:rPr>
          <w:rFonts w:eastAsia="Times New Roman" w:cs="Arial"/>
          <w:color w:val="000000"/>
        </w:rPr>
        <w:t>),</w:t>
      </w:r>
      <w:r w:rsidR="002E306B" w:rsidRPr="002E306B">
        <w:rPr>
          <w:rFonts w:eastAsia="Times New Roman" w:cs="Arial"/>
          <w:color w:val="000000"/>
        </w:rPr>
        <w:t xml:space="preserve"> </w:t>
      </w:r>
      <w:r w:rsidR="00042EE7" w:rsidRPr="00042EE7">
        <w:rPr>
          <w:rFonts w:eastAsia="Times New Roman" w:cs="Arial"/>
          <w:color w:val="000000"/>
        </w:rPr>
        <w:t xml:space="preserve">sulfur dioxide </w:t>
      </w:r>
      <w:r w:rsidR="00042EE7">
        <w:rPr>
          <w:rFonts w:eastAsia="Times New Roman" w:cs="Arial"/>
          <w:color w:val="000000"/>
        </w:rPr>
        <w:t>(</w:t>
      </w:r>
      <w:r w:rsidR="002E306B" w:rsidRPr="002E306B">
        <w:rPr>
          <w:rFonts w:eastAsia="Times New Roman" w:cs="Arial"/>
          <w:color w:val="000000"/>
        </w:rPr>
        <w:t>SO</w:t>
      </w:r>
      <w:r w:rsidR="002E306B" w:rsidRPr="00CA44EE">
        <w:rPr>
          <w:rFonts w:eastAsia="Times New Roman" w:cs="Arial"/>
          <w:color w:val="000000"/>
          <w:vertAlign w:val="subscript"/>
        </w:rPr>
        <w:t>2</w:t>
      </w:r>
      <w:r w:rsidR="00042EE7">
        <w:rPr>
          <w:rFonts w:eastAsia="Times New Roman" w:cs="Arial"/>
          <w:color w:val="000000"/>
        </w:rPr>
        <w:t>),</w:t>
      </w:r>
      <w:r w:rsidR="002E306B" w:rsidRPr="002E306B">
        <w:rPr>
          <w:rFonts w:eastAsia="Times New Roman" w:cs="Arial"/>
          <w:color w:val="000000"/>
        </w:rPr>
        <w:t xml:space="preserve"> </w:t>
      </w:r>
      <w:r w:rsidR="00042EE7">
        <w:rPr>
          <w:rFonts w:eastAsia="Times New Roman" w:cs="Arial"/>
          <w:color w:val="000000"/>
        </w:rPr>
        <w:t>volatile organic carbons (</w:t>
      </w:r>
      <w:r w:rsidR="002E306B" w:rsidRPr="002E306B">
        <w:rPr>
          <w:rFonts w:eastAsia="Times New Roman" w:cs="Arial"/>
          <w:color w:val="000000"/>
        </w:rPr>
        <w:t>VOC</w:t>
      </w:r>
      <w:r w:rsidR="00042EE7">
        <w:rPr>
          <w:rFonts w:eastAsia="Times New Roman" w:cs="Arial"/>
          <w:color w:val="000000"/>
        </w:rPr>
        <w:t>s)</w:t>
      </w:r>
      <w:r w:rsidR="002E306B" w:rsidRPr="002E306B">
        <w:rPr>
          <w:rFonts w:eastAsia="Times New Roman" w:cs="Arial"/>
          <w:color w:val="000000"/>
        </w:rPr>
        <w:t xml:space="preserve">, and </w:t>
      </w:r>
      <w:r w:rsidR="00042EE7">
        <w:rPr>
          <w:rFonts w:eastAsia="Times New Roman" w:cs="Arial"/>
          <w:color w:val="000000"/>
        </w:rPr>
        <w:t>carbon dioxide (</w:t>
      </w:r>
      <w:r w:rsidR="002E306B" w:rsidRPr="002E306B">
        <w:rPr>
          <w:rFonts w:eastAsia="Times New Roman" w:cs="Arial"/>
          <w:color w:val="000000"/>
        </w:rPr>
        <w:t>CO</w:t>
      </w:r>
      <w:r w:rsidR="002E306B" w:rsidRPr="00CA44EE">
        <w:rPr>
          <w:rFonts w:eastAsia="Times New Roman" w:cs="Arial"/>
          <w:color w:val="000000"/>
          <w:vertAlign w:val="subscript"/>
        </w:rPr>
        <w:t>2</w:t>
      </w:r>
      <w:r w:rsidR="00042EE7">
        <w:rPr>
          <w:rFonts w:eastAsia="Times New Roman" w:cs="Arial"/>
          <w:color w:val="000000"/>
        </w:rPr>
        <w:t>)</w:t>
      </w:r>
      <w:r w:rsidR="002C1420">
        <w:rPr>
          <w:rFonts w:eastAsia="Times New Roman" w:cs="Arial"/>
          <w:color w:val="000000"/>
        </w:rPr>
        <w:t xml:space="preserve"> </w:t>
      </w:r>
      <w:r w:rsidR="002E306B" w:rsidRPr="002E306B">
        <w:rPr>
          <w:rFonts w:eastAsia="Times New Roman" w:cs="Arial"/>
          <w:color w:val="000000"/>
        </w:rPr>
        <w:t>would be associated with HH-60</w:t>
      </w:r>
      <w:r w:rsidR="009758E1">
        <w:rPr>
          <w:rFonts w:eastAsia="Times New Roman" w:cs="Arial"/>
          <w:color w:val="000000"/>
        </w:rPr>
        <w:t xml:space="preserve"> </w:t>
      </w:r>
      <w:r w:rsidR="00042EE7">
        <w:rPr>
          <w:rFonts w:eastAsia="Times New Roman" w:cs="Arial"/>
          <w:color w:val="000000"/>
        </w:rPr>
        <w:t>aircraft</w:t>
      </w:r>
      <w:r w:rsidR="002E306B">
        <w:rPr>
          <w:rFonts w:eastAsia="Times New Roman" w:cs="Arial"/>
          <w:color w:val="000000"/>
        </w:rPr>
        <w:t xml:space="preserve"> </w:t>
      </w:r>
      <w:r w:rsidR="002E306B" w:rsidRPr="002E306B">
        <w:rPr>
          <w:rFonts w:eastAsia="Times New Roman" w:cs="Arial"/>
          <w:color w:val="000000"/>
        </w:rPr>
        <w:t>operations</w:t>
      </w:r>
      <w:r w:rsidR="002E306B">
        <w:rPr>
          <w:rFonts w:eastAsia="Times New Roman" w:cs="Arial"/>
          <w:color w:val="000000"/>
        </w:rPr>
        <w:t>.</w:t>
      </w:r>
      <w:r w:rsidR="002E306B" w:rsidRPr="002E306B">
        <w:t xml:space="preserve"> </w:t>
      </w:r>
      <w:r w:rsidR="002E306B" w:rsidRPr="002E306B">
        <w:rPr>
          <w:rFonts w:eastAsia="Times New Roman" w:cs="Arial"/>
          <w:color w:val="000000"/>
        </w:rPr>
        <w:t>Occasional training would include two ground vehicles and the use of munitions by ground forces. The ground vehicles would travel between Moody AFB and the</w:t>
      </w:r>
      <w:r w:rsidR="00A80DA3">
        <w:rPr>
          <w:rFonts w:eastAsia="Times New Roman" w:cs="Arial"/>
          <w:color w:val="000000"/>
        </w:rPr>
        <w:t xml:space="preserve"> </w:t>
      </w:r>
      <w:r w:rsidR="005B41D8">
        <w:rPr>
          <w:rFonts w:eastAsia="Times New Roman" w:cs="Arial"/>
          <w:color w:val="000000"/>
        </w:rPr>
        <w:t>HLZs</w:t>
      </w:r>
      <w:r w:rsidR="00A80DA3">
        <w:rPr>
          <w:rFonts w:eastAsia="Times New Roman" w:cs="Arial"/>
          <w:color w:val="000000"/>
        </w:rPr>
        <w:t>.</w:t>
      </w:r>
      <w:r w:rsidR="009227DD">
        <w:rPr>
          <w:rFonts w:eastAsia="Times New Roman" w:cs="Arial"/>
          <w:color w:val="000000"/>
        </w:rPr>
        <w:t xml:space="preserve"> </w:t>
      </w:r>
      <w:r w:rsidR="009227DD" w:rsidRPr="009227DD">
        <w:rPr>
          <w:rFonts w:eastAsia="Times New Roman" w:cs="Arial"/>
          <w:color w:val="000000"/>
        </w:rPr>
        <w:t>None of estimated annual net emissions</w:t>
      </w:r>
      <w:r w:rsidR="002C1420">
        <w:rPr>
          <w:rFonts w:eastAsia="Times New Roman" w:cs="Arial"/>
          <w:color w:val="000000"/>
        </w:rPr>
        <w:br w:type="page"/>
      </w:r>
    </w:p>
    <w:p w14:paraId="668C6E7F" w14:textId="3681CF90" w:rsidR="00C76A9C" w:rsidRDefault="009227DD" w:rsidP="0038211D">
      <w:pPr>
        <w:spacing w:after="120" w:line="264" w:lineRule="auto"/>
        <w:rPr>
          <w:rFonts w:eastAsia="Times New Roman" w:cs="Arial"/>
          <w:color w:val="000000"/>
        </w:rPr>
      </w:pPr>
      <w:r w:rsidRPr="009227DD">
        <w:rPr>
          <w:rFonts w:eastAsia="Times New Roman" w:cs="Arial"/>
          <w:color w:val="000000"/>
        </w:rPr>
        <w:lastRenderedPageBreak/>
        <w:t>associated with this action are above the insignificance indicators, indicating no significant impact to air quality. Therefore, the action w</w:t>
      </w:r>
      <w:r w:rsidR="003760FC">
        <w:rPr>
          <w:rFonts w:eastAsia="Times New Roman" w:cs="Arial"/>
          <w:color w:val="000000"/>
        </w:rPr>
        <w:t>ould</w:t>
      </w:r>
      <w:r w:rsidRPr="009227DD">
        <w:rPr>
          <w:rFonts w:eastAsia="Times New Roman" w:cs="Arial"/>
          <w:color w:val="000000"/>
        </w:rPr>
        <w:t xml:space="preserve"> not cause or contribute to an exceedance on one or more National Ambient Air Quality Standards.</w:t>
      </w:r>
      <w:r w:rsidR="002C1420">
        <w:rPr>
          <w:rFonts w:eastAsia="Times New Roman" w:cs="Arial"/>
          <w:color w:val="000000"/>
        </w:rPr>
        <w:t xml:space="preserve"> Greenhouse gasses would be released through operation of helicopter and vehicles, however the quantity would be </w:t>
      </w:r>
    </w:p>
    <w:p w14:paraId="773C96FA" w14:textId="628B89D8" w:rsidR="00617AE7" w:rsidRDefault="00C76A9C" w:rsidP="0038211D">
      <w:pPr>
        <w:spacing w:after="120" w:line="264" w:lineRule="auto"/>
        <w:rPr>
          <w:rFonts w:eastAsia="Times New Roman" w:cs="Arial"/>
          <w:color w:val="000000"/>
        </w:rPr>
      </w:pPr>
      <w:r w:rsidRPr="00C76A9C">
        <w:rPr>
          <w:rFonts w:eastAsia="Times New Roman" w:cs="Arial"/>
          <w:b/>
          <w:bCs/>
          <w:color w:val="000000"/>
        </w:rPr>
        <w:t>Water Resources</w:t>
      </w:r>
      <w:r>
        <w:rPr>
          <w:rFonts w:eastAsia="Times New Roman" w:cs="Arial"/>
          <w:color w:val="000000"/>
        </w:rPr>
        <w:t xml:space="preserve"> – </w:t>
      </w:r>
      <w:r w:rsidR="00617AE7">
        <w:rPr>
          <w:rFonts w:eastAsia="Times New Roman" w:cs="Arial"/>
          <w:color w:val="000000"/>
        </w:rPr>
        <w:t>P</w:t>
      </w:r>
      <w:r w:rsidR="00617AE7" w:rsidRPr="00617AE7">
        <w:rPr>
          <w:rFonts w:eastAsia="Times New Roman" w:cs="Arial"/>
          <w:color w:val="000000"/>
        </w:rPr>
        <w:t xml:space="preserve">otential impacts to water resources </w:t>
      </w:r>
      <w:r w:rsidR="00617AE7">
        <w:rPr>
          <w:rFonts w:eastAsia="Times New Roman" w:cs="Arial"/>
          <w:color w:val="000000"/>
        </w:rPr>
        <w:t>are</w:t>
      </w:r>
      <w:r w:rsidR="00617AE7" w:rsidRPr="00617AE7">
        <w:rPr>
          <w:rFonts w:eastAsia="Times New Roman" w:cs="Arial"/>
          <w:color w:val="000000"/>
        </w:rPr>
        <w:t xml:space="preserve"> based on water availability, water quality, and use</w:t>
      </w:r>
      <w:r w:rsidR="00617AE7">
        <w:rPr>
          <w:rFonts w:eastAsia="Times New Roman" w:cs="Arial"/>
          <w:color w:val="000000"/>
        </w:rPr>
        <w:t xml:space="preserve">. </w:t>
      </w:r>
      <w:r w:rsidR="00856AD9">
        <w:rPr>
          <w:rFonts w:eastAsia="Times New Roman" w:cs="Arial"/>
          <w:color w:val="000000"/>
        </w:rPr>
        <w:t xml:space="preserve">No surface waters are present at the </w:t>
      </w:r>
      <w:r w:rsidR="005901BA">
        <w:rPr>
          <w:rFonts w:eastAsia="Times New Roman" w:cs="Arial"/>
          <w:color w:val="000000"/>
        </w:rPr>
        <w:t>properties;</w:t>
      </w:r>
      <w:r w:rsidR="00856AD9">
        <w:rPr>
          <w:rFonts w:eastAsia="Times New Roman" w:cs="Arial"/>
          <w:color w:val="000000"/>
        </w:rPr>
        <w:t xml:space="preserve"> however</w:t>
      </w:r>
      <w:r w:rsidR="005901BA">
        <w:rPr>
          <w:rFonts w:eastAsia="Times New Roman" w:cs="Arial"/>
          <w:color w:val="000000"/>
        </w:rPr>
        <w:t>,</w:t>
      </w:r>
      <w:r w:rsidR="00856AD9">
        <w:rPr>
          <w:rFonts w:eastAsia="Times New Roman" w:cs="Arial"/>
          <w:color w:val="000000"/>
        </w:rPr>
        <w:t xml:space="preserve"> waterways and wetlands can be found near the </w:t>
      </w:r>
      <w:r w:rsidR="005B41D8">
        <w:rPr>
          <w:rFonts w:eastAsia="Times New Roman" w:cs="Arial"/>
          <w:color w:val="000000"/>
        </w:rPr>
        <w:t>HLZs</w:t>
      </w:r>
      <w:r w:rsidR="00856AD9">
        <w:rPr>
          <w:rFonts w:eastAsia="Times New Roman" w:cs="Arial"/>
          <w:color w:val="000000"/>
        </w:rPr>
        <w:t>. P</w:t>
      </w:r>
      <w:r w:rsidR="00856AD9" w:rsidRPr="00856AD9">
        <w:rPr>
          <w:rFonts w:eastAsia="Times New Roman" w:cs="Arial"/>
          <w:color w:val="000000"/>
        </w:rPr>
        <w:t xml:space="preserve">ersonnel and vehicles would avoid any adjacent wetlands or waterways </w:t>
      </w:r>
      <w:r w:rsidR="00856AD9">
        <w:rPr>
          <w:rFonts w:eastAsia="Times New Roman" w:cs="Arial"/>
          <w:color w:val="000000"/>
        </w:rPr>
        <w:t>during</w:t>
      </w:r>
      <w:r w:rsidR="00856AD9" w:rsidRPr="00856AD9">
        <w:rPr>
          <w:rFonts w:eastAsia="Times New Roman" w:cs="Arial"/>
          <w:color w:val="000000"/>
        </w:rPr>
        <w:t xml:space="preserve"> proposed training activities</w:t>
      </w:r>
      <w:r w:rsidR="00856AD9">
        <w:rPr>
          <w:rFonts w:eastAsia="Times New Roman" w:cs="Arial"/>
          <w:color w:val="000000"/>
        </w:rPr>
        <w:t xml:space="preserve">. </w:t>
      </w:r>
      <w:r w:rsidR="0071173F" w:rsidRPr="0071173F">
        <w:rPr>
          <w:rFonts w:eastAsia="Times New Roman" w:cs="Arial"/>
          <w:color w:val="000000"/>
        </w:rPr>
        <w:t xml:space="preserve">As a result, the </w:t>
      </w:r>
      <w:r w:rsidR="00891A1C">
        <w:rPr>
          <w:rFonts w:eastAsia="Times New Roman" w:cs="Arial"/>
          <w:color w:val="000000"/>
        </w:rPr>
        <w:t>DAF</w:t>
      </w:r>
      <w:r w:rsidR="0071173F" w:rsidRPr="0071173F">
        <w:rPr>
          <w:rFonts w:eastAsia="Times New Roman" w:cs="Arial"/>
          <w:color w:val="000000"/>
        </w:rPr>
        <w:t xml:space="preserve"> has not identified any potential for direct or indirect impacts to water resources resulting from the Proposed Action.</w:t>
      </w:r>
      <w:r w:rsidR="0071173F">
        <w:rPr>
          <w:rFonts w:eastAsia="Times New Roman" w:cs="Arial"/>
          <w:color w:val="000000"/>
        </w:rPr>
        <w:t xml:space="preserve"> </w:t>
      </w:r>
      <w:r w:rsidR="00856AD9" w:rsidRPr="00856AD9">
        <w:rPr>
          <w:rFonts w:eastAsia="Times New Roman" w:cs="Arial"/>
          <w:color w:val="000000"/>
        </w:rPr>
        <w:t>Potential impacts related to flood hazards can be significant if such actions are proposed in areas with high probabilities of flooding; however, impacts can be mitigated through the use of design features to minimize the effects of flooding</w:t>
      </w:r>
      <w:r w:rsidR="00856AD9">
        <w:rPr>
          <w:rFonts w:eastAsia="Times New Roman" w:cs="Arial"/>
          <w:color w:val="000000"/>
        </w:rPr>
        <w:t xml:space="preserve">. </w:t>
      </w:r>
      <w:r w:rsidR="006C555E">
        <w:rPr>
          <w:rFonts w:eastAsia="Times New Roman" w:cs="Arial"/>
          <w:color w:val="000000"/>
        </w:rPr>
        <w:t>The entirety of HLZ-1 is</w:t>
      </w:r>
      <w:r w:rsidR="00856AD9" w:rsidRPr="00856AD9">
        <w:rPr>
          <w:rFonts w:eastAsia="Times New Roman" w:cs="Arial"/>
          <w:color w:val="000000"/>
        </w:rPr>
        <w:t xml:space="preserve"> located within </w:t>
      </w:r>
      <w:r w:rsidR="00856AD9">
        <w:rPr>
          <w:rFonts w:eastAsia="Times New Roman" w:cs="Arial"/>
          <w:color w:val="000000"/>
        </w:rPr>
        <w:t xml:space="preserve">a </w:t>
      </w:r>
      <w:r w:rsidR="00856AD9" w:rsidRPr="00856AD9">
        <w:rPr>
          <w:rFonts w:eastAsia="Times New Roman" w:cs="Arial"/>
          <w:color w:val="000000"/>
        </w:rPr>
        <w:t>designated 100-year floodplain</w:t>
      </w:r>
      <w:r w:rsidR="00856AD9">
        <w:rPr>
          <w:rFonts w:eastAsia="Times New Roman" w:cs="Arial"/>
          <w:color w:val="000000"/>
        </w:rPr>
        <w:t xml:space="preserve">. </w:t>
      </w:r>
      <w:r w:rsidR="00856AD9" w:rsidRPr="00856AD9">
        <w:rPr>
          <w:rFonts w:eastAsia="Times New Roman" w:cs="Arial"/>
          <w:color w:val="000000"/>
        </w:rPr>
        <w:t>However, the proposed action does not require any ground modifications or surface construction</w:t>
      </w:r>
      <w:r w:rsidR="00856AD9">
        <w:rPr>
          <w:rFonts w:eastAsia="Times New Roman" w:cs="Arial"/>
          <w:color w:val="000000"/>
        </w:rPr>
        <w:t xml:space="preserve">, therefore no impacts to floodplains or hydrology are expected. </w:t>
      </w:r>
      <w:r w:rsidR="009805EF" w:rsidRPr="009805EF">
        <w:rPr>
          <w:rFonts w:eastAsia="Times New Roman" w:cs="Arial"/>
          <w:color w:val="000000"/>
        </w:rPr>
        <w:t>An impact to wetlands would be significant if it reduced wetland function and/or required Section 404</w:t>
      </w:r>
      <w:r w:rsidR="009805EF">
        <w:rPr>
          <w:rFonts w:eastAsia="Times New Roman" w:cs="Arial"/>
          <w:color w:val="000000"/>
        </w:rPr>
        <w:t xml:space="preserve"> Clean Water Act permitting.</w:t>
      </w:r>
    </w:p>
    <w:p w14:paraId="68D3BDBF" w14:textId="60EC6716" w:rsidR="00C76A9C" w:rsidRPr="0038211D" w:rsidRDefault="00C76A9C" w:rsidP="0038211D">
      <w:pPr>
        <w:spacing w:after="120" w:line="264" w:lineRule="auto"/>
        <w:rPr>
          <w:rFonts w:eastAsia="Times New Roman" w:cs="Arial"/>
          <w:color w:val="000000"/>
        </w:rPr>
      </w:pPr>
      <w:r w:rsidRPr="00C76A9C">
        <w:rPr>
          <w:rFonts w:eastAsia="Times New Roman" w:cs="Arial"/>
          <w:b/>
          <w:bCs/>
          <w:color w:val="000000"/>
        </w:rPr>
        <w:t>Safety</w:t>
      </w:r>
      <w:r>
        <w:rPr>
          <w:rFonts w:eastAsia="Times New Roman" w:cs="Arial"/>
          <w:b/>
          <w:bCs/>
          <w:color w:val="000000"/>
        </w:rPr>
        <w:t xml:space="preserve"> and Occupational Health</w:t>
      </w:r>
      <w:r w:rsidRPr="00C76A9C">
        <w:rPr>
          <w:rFonts w:eastAsia="Times New Roman" w:cs="Arial"/>
          <w:color w:val="000000"/>
        </w:rPr>
        <w:t xml:space="preserve"> – There are inherent safety risks associated with the use of </w:t>
      </w:r>
      <w:r w:rsidR="006C555E">
        <w:rPr>
          <w:rFonts w:eastAsia="Times New Roman" w:cs="Arial"/>
          <w:color w:val="000000"/>
        </w:rPr>
        <w:t>explosives</w:t>
      </w:r>
      <w:r w:rsidRPr="00C76A9C">
        <w:rPr>
          <w:rFonts w:eastAsia="Times New Roman" w:cs="Arial"/>
          <w:color w:val="000000"/>
        </w:rPr>
        <w:t>, risk of mid-air</w:t>
      </w:r>
      <w:r w:rsidR="00617AE7">
        <w:rPr>
          <w:rFonts w:eastAsia="Times New Roman" w:cs="Arial"/>
          <w:color w:val="000000"/>
        </w:rPr>
        <w:t xml:space="preserve"> </w:t>
      </w:r>
      <w:r w:rsidR="00DD2D51">
        <w:rPr>
          <w:rFonts w:eastAsia="Times New Roman" w:cs="Arial"/>
          <w:color w:val="000000"/>
        </w:rPr>
        <w:t xml:space="preserve">aircraft or bird </w:t>
      </w:r>
      <w:r w:rsidR="00617AE7">
        <w:rPr>
          <w:rFonts w:eastAsia="Times New Roman" w:cs="Arial"/>
          <w:color w:val="000000"/>
        </w:rPr>
        <w:t>collisions</w:t>
      </w:r>
      <w:r w:rsidR="006C555E">
        <w:rPr>
          <w:rFonts w:eastAsia="Times New Roman" w:cs="Arial"/>
          <w:color w:val="000000"/>
        </w:rPr>
        <w:t>, and ground transportation</w:t>
      </w:r>
      <w:r w:rsidRPr="00C76A9C">
        <w:rPr>
          <w:rFonts w:eastAsia="Times New Roman" w:cs="Arial"/>
          <w:color w:val="000000"/>
        </w:rPr>
        <w:t xml:space="preserve">. </w:t>
      </w:r>
      <w:r w:rsidR="006C555E">
        <w:rPr>
          <w:rFonts w:eastAsia="Times New Roman" w:cs="Arial"/>
          <w:color w:val="000000"/>
        </w:rPr>
        <w:t>Hazard mitigation</w:t>
      </w:r>
      <w:r w:rsidR="006C555E" w:rsidRPr="00C76A9C">
        <w:rPr>
          <w:rFonts w:eastAsia="Times New Roman" w:cs="Arial"/>
          <w:color w:val="000000"/>
        </w:rPr>
        <w:t xml:space="preserve"> </w:t>
      </w:r>
      <w:r w:rsidRPr="00C76A9C">
        <w:rPr>
          <w:rFonts w:eastAsia="Times New Roman" w:cs="Arial"/>
          <w:color w:val="000000"/>
        </w:rPr>
        <w:t>procedures include</w:t>
      </w:r>
      <w:r w:rsidR="00617AE7">
        <w:rPr>
          <w:rFonts w:eastAsia="Times New Roman" w:cs="Arial"/>
          <w:color w:val="000000"/>
        </w:rPr>
        <w:t xml:space="preserve"> </w:t>
      </w:r>
      <w:r w:rsidR="005901BA">
        <w:rPr>
          <w:rFonts w:eastAsia="Times New Roman" w:cs="Arial"/>
          <w:color w:val="000000"/>
        </w:rPr>
        <w:t>prohibiting</w:t>
      </w:r>
      <w:r w:rsidR="00DD2D51">
        <w:rPr>
          <w:rFonts w:eastAsia="Times New Roman" w:cs="Arial"/>
          <w:color w:val="000000"/>
        </w:rPr>
        <w:t xml:space="preserve"> </w:t>
      </w:r>
      <w:r w:rsidRPr="00C76A9C">
        <w:rPr>
          <w:rFonts w:eastAsia="Times New Roman" w:cs="Arial"/>
          <w:color w:val="000000"/>
        </w:rPr>
        <w:t>the use of pyrotechnics during high-risk fire days (i.e., extremely dry conditions or in days with high winds</w:t>
      </w:r>
      <w:r w:rsidR="00FF3AA6" w:rsidRPr="00C76A9C">
        <w:rPr>
          <w:rFonts w:eastAsia="Times New Roman" w:cs="Arial"/>
          <w:color w:val="000000"/>
        </w:rPr>
        <w:t>)</w:t>
      </w:r>
      <w:r w:rsidR="006C555E">
        <w:rPr>
          <w:rFonts w:eastAsia="Times New Roman" w:cs="Arial"/>
          <w:color w:val="000000"/>
        </w:rPr>
        <w:t xml:space="preserve">, </w:t>
      </w:r>
      <w:r w:rsidRPr="00C76A9C">
        <w:rPr>
          <w:rFonts w:eastAsia="Times New Roman" w:cs="Arial"/>
          <w:color w:val="000000"/>
        </w:rPr>
        <w:t>establishing and maintaining positive two-way communication between pilots and personnel on the ground prior to any air drops</w:t>
      </w:r>
      <w:r w:rsidR="006C555E">
        <w:rPr>
          <w:rFonts w:eastAsia="Times New Roman" w:cs="Arial"/>
          <w:color w:val="000000"/>
        </w:rPr>
        <w:t xml:space="preserve">, and practicing safe driving habits in accordance with </w:t>
      </w:r>
      <w:r w:rsidR="006C555E" w:rsidRPr="006C555E">
        <w:rPr>
          <w:rFonts w:eastAsia="Times New Roman" w:cs="Arial"/>
          <w:color w:val="000000"/>
        </w:rPr>
        <w:t>DAF Instruction 91-207</w:t>
      </w:r>
      <w:r w:rsidR="006C555E">
        <w:rPr>
          <w:rFonts w:eastAsia="Times New Roman" w:cs="Arial"/>
          <w:color w:val="000000"/>
        </w:rPr>
        <w:t xml:space="preserve">, </w:t>
      </w:r>
      <w:r w:rsidR="006C555E" w:rsidRPr="006C555E">
        <w:rPr>
          <w:rFonts w:eastAsia="Times New Roman" w:cs="Times New Roman"/>
          <w:i/>
          <w:iCs/>
          <w:szCs w:val="24"/>
        </w:rPr>
        <w:t>The Traffic Safety Program</w:t>
      </w:r>
      <w:r w:rsidR="006C555E" w:rsidRPr="006C555E">
        <w:rPr>
          <w:rFonts w:eastAsia="Times New Roman" w:cs="Times New Roman"/>
          <w:szCs w:val="24"/>
        </w:rPr>
        <w:t>.</w:t>
      </w:r>
    </w:p>
    <w:p w14:paraId="3FBCD28B" w14:textId="4ECE2E93" w:rsidR="00B80DB6" w:rsidRPr="0038211D" w:rsidRDefault="00B80DB6" w:rsidP="0038211D">
      <w:pPr>
        <w:spacing w:after="120" w:line="264" w:lineRule="auto"/>
        <w:rPr>
          <w:rFonts w:eastAsia="Times New Roman" w:cs="Arial"/>
          <w:color w:val="000000"/>
        </w:rPr>
      </w:pPr>
      <w:r w:rsidRPr="00B80DB6">
        <w:rPr>
          <w:rFonts w:eastAsia="Times New Roman" w:cs="Arial"/>
          <w:b/>
          <w:bCs/>
          <w:color w:val="000000"/>
        </w:rPr>
        <w:t>Biological</w:t>
      </w:r>
      <w:r w:rsidR="00C76A9C">
        <w:rPr>
          <w:rFonts w:eastAsia="Times New Roman" w:cs="Arial"/>
          <w:b/>
          <w:bCs/>
          <w:color w:val="000000"/>
        </w:rPr>
        <w:t>/Natural</w:t>
      </w:r>
      <w:r w:rsidRPr="00B80DB6">
        <w:rPr>
          <w:rFonts w:eastAsia="Times New Roman" w:cs="Arial"/>
          <w:b/>
          <w:bCs/>
          <w:color w:val="000000"/>
        </w:rPr>
        <w:t xml:space="preserve"> Resources </w:t>
      </w:r>
      <w:r w:rsidRPr="00B80DB6">
        <w:rPr>
          <w:rFonts w:eastAsia="Times New Roman" w:cs="Arial"/>
          <w:color w:val="000000"/>
        </w:rPr>
        <w:t>– Wildlife could be startled by aircraft operations and overflights, and training munitions. Startle effects would in most cases be expected to be temporary, and individuals would resume normal behaviors after completion of training events. Wildlife would likely habituate to noise to at least some degree. Wood stork and bald eagle nesting locations would be avoided. Impacts to vegetation on the HLZ</w:t>
      </w:r>
      <w:r w:rsidR="005B41D8">
        <w:rPr>
          <w:rFonts w:eastAsia="Times New Roman" w:cs="Arial"/>
          <w:color w:val="000000"/>
        </w:rPr>
        <w:t>s</w:t>
      </w:r>
      <w:r w:rsidRPr="00B80DB6">
        <w:rPr>
          <w:rFonts w:eastAsia="Times New Roman" w:cs="Arial"/>
          <w:color w:val="000000"/>
        </w:rPr>
        <w:t xml:space="preserve"> would be minimal since there would be no ground disturbance or construction activities.</w:t>
      </w:r>
    </w:p>
    <w:p w14:paraId="463EBBC4" w14:textId="2AB27AC3" w:rsidR="00B80DB6" w:rsidRPr="0038211D" w:rsidRDefault="00B80DB6" w:rsidP="0038211D">
      <w:pPr>
        <w:spacing w:after="120" w:line="264" w:lineRule="auto"/>
        <w:rPr>
          <w:rFonts w:eastAsia="Times New Roman" w:cs="Arial"/>
          <w:color w:val="000000"/>
        </w:rPr>
      </w:pPr>
      <w:r w:rsidRPr="00B80DB6">
        <w:rPr>
          <w:rFonts w:eastAsia="Times New Roman" w:cs="Arial"/>
          <w:b/>
          <w:bCs/>
          <w:color w:val="000000"/>
        </w:rPr>
        <w:t>Socioeconomic</w:t>
      </w:r>
      <w:r w:rsidR="00C76A9C">
        <w:rPr>
          <w:rFonts w:eastAsia="Times New Roman" w:cs="Arial"/>
          <w:b/>
          <w:bCs/>
          <w:color w:val="000000"/>
        </w:rPr>
        <w:t xml:space="preserve"> Resources/Environmental Justice</w:t>
      </w:r>
      <w:r w:rsidRPr="00B80DB6">
        <w:rPr>
          <w:rFonts w:eastAsia="Times New Roman" w:cs="Arial"/>
          <w:color w:val="000000"/>
        </w:rPr>
        <w:t xml:space="preserve"> – Noise and loss of productivity on the proposed lands are the main drivers associated with socioeconomic and environmental justice impacts. No significant noise or land use impacts have been identified. As a result, there would be no significant adverse impacts to socioeconomic resources or disproportionate impacts to environmental justice areas of concern under the Proposed Action.</w:t>
      </w:r>
    </w:p>
    <w:p w14:paraId="738E3BB0" w14:textId="2C1FB0D0" w:rsidR="00B80DB6" w:rsidRPr="0038211D" w:rsidRDefault="00B80DB6" w:rsidP="0038211D">
      <w:pPr>
        <w:spacing w:after="120" w:line="264" w:lineRule="auto"/>
        <w:rPr>
          <w:rFonts w:eastAsia="Times New Roman" w:cs="Arial"/>
          <w:b/>
          <w:bCs/>
          <w:color w:val="000000"/>
        </w:rPr>
      </w:pPr>
      <w:r w:rsidRPr="0038211D">
        <w:rPr>
          <w:rFonts w:eastAsia="Times New Roman" w:cs="Arial"/>
          <w:b/>
          <w:bCs/>
          <w:color w:val="000000"/>
        </w:rPr>
        <w:t>PREFERRED ALTERNATIVE</w:t>
      </w:r>
    </w:p>
    <w:p w14:paraId="2ECBEF6E" w14:textId="424AA250" w:rsidR="00731F51" w:rsidRDefault="00B80DB6" w:rsidP="0038211D">
      <w:pPr>
        <w:spacing w:after="120" w:line="264" w:lineRule="auto"/>
        <w:rPr>
          <w:rFonts w:eastAsia="Times New Roman" w:cs="Arial"/>
          <w:b/>
          <w:bCs/>
          <w:color w:val="000000"/>
        </w:rPr>
      </w:pPr>
      <w:r w:rsidRPr="0038211D">
        <w:rPr>
          <w:rFonts w:eastAsia="Times New Roman" w:cs="Arial"/>
          <w:color w:val="000000"/>
        </w:rPr>
        <w:t>The Preferred Alternative is to implement the Proposed Action.</w:t>
      </w:r>
      <w:r w:rsidR="00731F51">
        <w:rPr>
          <w:rFonts w:eastAsia="Times New Roman" w:cs="Arial"/>
          <w:b/>
          <w:bCs/>
          <w:color w:val="000000"/>
        </w:rPr>
        <w:br w:type="page"/>
      </w:r>
    </w:p>
    <w:p w14:paraId="68191BC7" w14:textId="4D3614E2" w:rsidR="001C4105" w:rsidRPr="0038211D" w:rsidRDefault="001C4105" w:rsidP="0038211D">
      <w:pPr>
        <w:spacing w:after="120" w:line="264" w:lineRule="auto"/>
        <w:rPr>
          <w:rFonts w:eastAsia="Times New Roman" w:cs="Arial"/>
          <w:b/>
          <w:bCs/>
          <w:color w:val="000000"/>
        </w:rPr>
      </w:pPr>
      <w:r w:rsidRPr="0038211D">
        <w:rPr>
          <w:rFonts w:eastAsia="Times New Roman" w:cs="Arial"/>
          <w:b/>
          <w:bCs/>
          <w:color w:val="000000"/>
        </w:rPr>
        <w:lastRenderedPageBreak/>
        <w:t>FINDING OF NO SIGNIFICANT IMPACT</w:t>
      </w:r>
    </w:p>
    <w:p w14:paraId="3815B80A" w14:textId="2301770B" w:rsidR="001C4105" w:rsidRPr="0038211D" w:rsidRDefault="001C4105" w:rsidP="0038211D">
      <w:pPr>
        <w:spacing w:after="120" w:line="264" w:lineRule="auto"/>
        <w:rPr>
          <w:rFonts w:eastAsia="Times New Roman" w:cs="Arial"/>
          <w:color w:val="000000"/>
        </w:rPr>
      </w:pPr>
      <w:r w:rsidRPr="001C4105">
        <w:rPr>
          <w:rFonts w:eastAsia="Times New Roman" w:cs="Arial"/>
          <w:color w:val="000000"/>
        </w:rPr>
        <w:t>Based on my review of the facts and analyses contained in the attached EA, conducted under the</w:t>
      </w:r>
      <w:r w:rsidRPr="0038211D">
        <w:rPr>
          <w:rFonts w:eastAsia="Times New Roman" w:cs="Arial"/>
          <w:color w:val="000000"/>
        </w:rPr>
        <w:t xml:space="preserve"> </w:t>
      </w:r>
      <w:r w:rsidRPr="001C4105">
        <w:rPr>
          <w:rFonts w:eastAsia="Times New Roman" w:cs="Arial"/>
          <w:color w:val="000000"/>
        </w:rPr>
        <w:t>provisions of NEPA, CEQ Regulations, and 32 CFR Part 989, I conclude that the Preferred</w:t>
      </w:r>
      <w:r w:rsidRPr="0038211D">
        <w:rPr>
          <w:rFonts w:eastAsia="Times New Roman" w:cs="Arial"/>
          <w:color w:val="000000"/>
        </w:rPr>
        <w:t xml:space="preserve"> </w:t>
      </w:r>
      <w:r w:rsidRPr="001C4105">
        <w:rPr>
          <w:rFonts w:eastAsia="Times New Roman" w:cs="Arial"/>
          <w:color w:val="000000"/>
        </w:rPr>
        <w:t>Alternative</w:t>
      </w:r>
      <w:r w:rsidRPr="0038211D">
        <w:rPr>
          <w:rFonts w:eastAsia="Times New Roman" w:cs="Arial"/>
          <w:color w:val="000000"/>
        </w:rPr>
        <w:t xml:space="preserve"> </w:t>
      </w:r>
      <w:r w:rsidRPr="001C4105">
        <w:rPr>
          <w:rFonts w:eastAsia="Times New Roman" w:cs="Arial"/>
          <w:color w:val="000000"/>
        </w:rPr>
        <w:t>(the Proposed Action) cumulatively with other projects at Moody AFB would not result in</w:t>
      </w:r>
      <w:r w:rsidR="00C76A9C">
        <w:rPr>
          <w:rFonts w:eastAsia="Times New Roman" w:cs="Arial"/>
          <w:color w:val="000000"/>
        </w:rPr>
        <w:t xml:space="preserve"> </w:t>
      </w:r>
      <w:r w:rsidRPr="001C4105">
        <w:rPr>
          <w:rFonts w:eastAsia="Times New Roman" w:cs="Arial"/>
          <w:color w:val="000000"/>
        </w:rPr>
        <w:t>significant</w:t>
      </w:r>
      <w:r w:rsidRPr="0038211D">
        <w:rPr>
          <w:rFonts w:eastAsia="Times New Roman" w:cs="Arial"/>
          <w:color w:val="000000"/>
        </w:rPr>
        <w:t xml:space="preserve"> </w:t>
      </w:r>
      <w:r w:rsidRPr="001C4105">
        <w:rPr>
          <w:rFonts w:eastAsia="Times New Roman" w:cs="Arial"/>
          <w:color w:val="000000"/>
        </w:rPr>
        <w:t>environmental impacts. Accordingly, an Environmental Impact Statement is not required. The signing of</w:t>
      </w:r>
      <w:r w:rsidRPr="0038211D">
        <w:rPr>
          <w:rFonts w:eastAsia="Times New Roman" w:cs="Arial"/>
          <w:color w:val="000000"/>
        </w:rPr>
        <w:t xml:space="preserve"> this Finding of No Significant Impact completes the environmental impact analysis process.</w:t>
      </w:r>
    </w:p>
    <w:p w14:paraId="694E6DB0" w14:textId="10011551" w:rsidR="001C4105" w:rsidRPr="0038211D" w:rsidRDefault="001C4105" w:rsidP="0038211D">
      <w:pPr>
        <w:spacing w:after="120" w:line="264" w:lineRule="auto"/>
        <w:rPr>
          <w:rFonts w:eastAsia="Times New Roman" w:cs="Arial"/>
          <w:color w:val="000000"/>
        </w:rPr>
      </w:pPr>
    </w:p>
    <w:p w14:paraId="149B8D2F" w14:textId="77777777" w:rsidR="00CE6FB6" w:rsidRPr="0038211D" w:rsidRDefault="00CE6FB6" w:rsidP="0038211D">
      <w:pPr>
        <w:spacing w:after="120" w:line="264" w:lineRule="auto"/>
        <w:rPr>
          <w:rFonts w:eastAsia="Times New Roman" w:cs="Arial"/>
          <w:color w:val="000000"/>
        </w:rPr>
      </w:pPr>
    </w:p>
    <w:p w14:paraId="37BE167C" w14:textId="02B3C68F" w:rsidR="001C4105" w:rsidRPr="0038211D" w:rsidRDefault="00CE6FB6" w:rsidP="0038211D">
      <w:pPr>
        <w:spacing w:after="120" w:line="264" w:lineRule="auto"/>
        <w:rPr>
          <w:rFonts w:eastAsia="Times New Roman" w:cs="Arial"/>
          <w:color w:val="000000"/>
        </w:rPr>
      </w:pPr>
      <w:r w:rsidRPr="0038211D">
        <w:rPr>
          <w:rFonts w:eastAsia="Times New Roman" w:cs="Arial"/>
          <w:color w:val="000000"/>
        </w:rPr>
        <w:t>________________________________________</w:t>
      </w:r>
      <w:r w:rsidR="008C5574">
        <w:rPr>
          <w:rFonts w:eastAsia="Times New Roman" w:cs="Arial"/>
          <w:color w:val="000000"/>
        </w:rPr>
        <w:t>__</w:t>
      </w:r>
      <w:r w:rsidRPr="0038211D">
        <w:rPr>
          <w:rFonts w:eastAsia="Times New Roman" w:cs="Arial"/>
          <w:color w:val="000000"/>
        </w:rPr>
        <w:tab/>
      </w:r>
      <w:r w:rsidR="008C5574">
        <w:rPr>
          <w:rFonts w:eastAsia="Times New Roman" w:cs="Arial"/>
          <w:color w:val="000000"/>
        </w:rPr>
        <w:tab/>
      </w:r>
      <w:r w:rsidRPr="0038211D">
        <w:rPr>
          <w:rFonts w:eastAsia="Times New Roman" w:cs="Arial"/>
          <w:color w:val="000000"/>
        </w:rPr>
        <w:t>Date___________________</w:t>
      </w:r>
    </w:p>
    <w:p w14:paraId="7D38469E" w14:textId="02FD5A13" w:rsidR="001C4105" w:rsidRPr="0038211D" w:rsidRDefault="006C555E" w:rsidP="0038211D">
      <w:pPr>
        <w:tabs>
          <w:tab w:val="left" w:pos="5040"/>
        </w:tabs>
        <w:spacing w:after="120" w:line="264" w:lineRule="auto"/>
        <w:jc w:val="left"/>
        <w:rPr>
          <w:rFonts w:eastAsia="Times New Roman" w:cs="Arial"/>
        </w:rPr>
      </w:pPr>
      <w:r w:rsidRPr="006C555E">
        <w:rPr>
          <w:rFonts w:eastAsia="Times New Roman" w:cs="Arial"/>
        </w:rPr>
        <w:t>PAUL E. SHEETS</w:t>
      </w:r>
      <w:r w:rsidRPr="006C555E" w:rsidDel="006C555E">
        <w:rPr>
          <w:rFonts w:eastAsia="Times New Roman" w:cs="Arial"/>
        </w:rPr>
        <w:t xml:space="preserve"> </w:t>
      </w:r>
      <w:r w:rsidR="001C4105" w:rsidRPr="0038211D">
        <w:rPr>
          <w:rFonts w:eastAsia="Times New Roman" w:cs="Arial"/>
        </w:rPr>
        <w:t>, Colonel</w:t>
      </w:r>
      <w:r w:rsidR="008C5574">
        <w:rPr>
          <w:rFonts w:eastAsia="Times New Roman" w:cs="Arial"/>
        </w:rPr>
        <w:t>,</w:t>
      </w:r>
      <w:r w:rsidR="008C5574">
        <w:rPr>
          <w:rFonts w:eastAsia="Times New Roman" w:cs="Arial"/>
        </w:rPr>
        <w:br/>
      </w:r>
      <w:r w:rsidR="001C4105" w:rsidRPr="0038211D">
        <w:rPr>
          <w:rFonts w:eastAsia="Times New Roman" w:cs="Arial"/>
        </w:rPr>
        <w:t>USAF Commander</w:t>
      </w:r>
      <w:r w:rsidR="00CE6FB6" w:rsidRPr="0038211D">
        <w:rPr>
          <w:rFonts w:eastAsia="Times New Roman" w:cs="Arial"/>
        </w:rPr>
        <w:t>, 23d Wing</w:t>
      </w:r>
    </w:p>
    <w:sectPr w:rsidR="001C4105" w:rsidRPr="0038211D" w:rsidSect="009B2B74">
      <w:headerReference w:type="default" r:id="rId7"/>
      <w:foot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E38A9" w14:textId="77777777" w:rsidR="00B37898" w:rsidRDefault="00B37898" w:rsidP="0087409A">
      <w:pPr>
        <w:spacing w:after="0" w:line="240" w:lineRule="auto"/>
      </w:pPr>
      <w:r>
        <w:separator/>
      </w:r>
    </w:p>
  </w:endnote>
  <w:endnote w:type="continuationSeparator" w:id="0">
    <w:p w14:paraId="10642079" w14:textId="77777777" w:rsidR="00B37898" w:rsidRDefault="00B37898" w:rsidP="008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CA0F" w14:textId="50FDBECC" w:rsidR="00731F51" w:rsidRPr="00FD3F10" w:rsidRDefault="00EC749D" w:rsidP="00731F51">
    <w:pPr>
      <w:pStyle w:val="Footer"/>
      <w:pBdr>
        <w:top w:val="single" w:sz="4" w:space="1" w:color="auto"/>
      </w:pBdr>
      <w:rPr>
        <w:rFonts w:ascii="Times New Roman" w:hAnsi="Times New Roman" w:cs="Times New Roman"/>
        <w:sz w:val="18"/>
        <w:szCs w:val="18"/>
      </w:rPr>
    </w:pPr>
    <w:r>
      <w:rPr>
        <w:rFonts w:ascii="Times New Roman" w:hAnsi="Times New Roman" w:cs="Times New Roman"/>
        <w:sz w:val="18"/>
        <w:szCs w:val="18"/>
      </w:rPr>
      <w:t>March</w:t>
    </w:r>
    <w:r w:rsidR="00731F51" w:rsidRPr="00FD3F10">
      <w:rPr>
        <w:rFonts w:ascii="Times New Roman" w:hAnsi="Times New Roman" w:cs="Times New Roman"/>
        <w:sz w:val="18"/>
        <w:szCs w:val="18"/>
      </w:rPr>
      <w:t xml:space="preserve"> 202</w:t>
    </w:r>
    <w:r>
      <w:rPr>
        <w:rFonts w:ascii="Times New Roman" w:hAnsi="Times New Roman" w:cs="Times New Roman"/>
        <w:sz w:val="18"/>
        <w:szCs w:val="18"/>
      </w:rPr>
      <w:t>4</w:t>
    </w:r>
    <w:r w:rsidR="00731F51">
      <w:rPr>
        <w:rFonts w:ascii="Times New Roman" w:hAnsi="Times New Roman" w:cs="Times New Roman"/>
        <w:sz w:val="18"/>
        <w:szCs w:val="18"/>
      </w:rPr>
      <w:tab/>
    </w:r>
    <w:r w:rsidR="00731F51">
      <w:rPr>
        <w:rFonts w:ascii="Times New Roman" w:hAnsi="Times New Roman" w:cs="Times New Roman"/>
        <w:sz w:val="18"/>
        <w:szCs w:val="18"/>
      </w:rPr>
      <w:tab/>
    </w:r>
    <w:r w:rsidR="00731F51">
      <w:rPr>
        <w:rFonts w:ascii="Times New Roman" w:hAnsi="Times New Roman" w:cs="Times New Roman"/>
        <w:sz w:val="18"/>
        <w:szCs w:val="18"/>
      </w:rPr>
      <w:fldChar w:fldCharType="begin"/>
    </w:r>
    <w:r w:rsidR="00731F51">
      <w:rPr>
        <w:rFonts w:ascii="Times New Roman" w:hAnsi="Times New Roman" w:cs="Times New Roman"/>
        <w:sz w:val="18"/>
        <w:szCs w:val="18"/>
      </w:rPr>
      <w:instrText xml:space="preserve"> PAGE  \* Arabic  \* MERGEFORMAT </w:instrText>
    </w:r>
    <w:r w:rsidR="00731F51">
      <w:rPr>
        <w:rFonts w:ascii="Times New Roman" w:hAnsi="Times New Roman" w:cs="Times New Roman"/>
        <w:sz w:val="18"/>
        <w:szCs w:val="18"/>
      </w:rPr>
      <w:fldChar w:fldCharType="separate"/>
    </w:r>
    <w:r w:rsidR="00731F51">
      <w:rPr>
        <w:rFonts w:ascii="Times New Roman" w:hAnsi="Times New Roman"/>
        <w:sz w:val="18"/>
        <w:szCs w:val="18"/>
      </w:rPr>
      <w:t>2</w:t>
    </w:r>
    <w:r w:rsidR="00731F51">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C50ED" w14:textId="77777777" w:rsidR="00B37898" w:rsidRDefault="00B37898" w:rsidP="0087409A">
      <w:pPr>
        <w:spacing w:after="0" w:line="240" w:lineRule="auto"/>
      </w:pPr>
      <w:r>
        <w:separator/>
      </w:r>
    </w:p>
  </w:footnote>
  <w:footnote w:type="continuationSeparator" w:id="0">
    <w:p w14:paraId="0C902498" w14:textId="77777777" w:rsidR="00B37898" w:rsidRDefault="00B37898" w:rsidP="008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E8FF" w14:textId="02FBBF0B" w:rsidR="00731F51" w:rsidRPr="00FD3F10" w:rsidRDefault="00731F51" w:rsidP="00731F51">
    <w:pPr>
      <w:pStyle w:val="Header"/>
      <w:rPr>
        <w:rFonts w:ascii="Times New Roman" w:hAnsi="Times New Roman" w:cs="Times New Roman"/>
        <w:i/>
        <w:iCs/>
        <w:sz w:val="18"/>
        <w:szCs w:val="18"/>
      </w:rPr>
    </w:pPr>
    <w:r>
      <w:rPr>
        <w:rFonts w:ascii="Times New Roman" w:hAnsi="Times New Roman" w:cs="Times New Roman"/>
        <w:i/>
        <w:iCs/>
        <w:sz w:val="18"/>
        <w:szCs w:val="18"/>
      </w:rPr>
      <w:t xml:space="preserve">Draft </w:t>
    </w:r>
    <w:r w:rsidRPr="00FD3F10">
      <w:rPr>
        <w:rFonts w:ascii="Times New Roman" w:hAnsi="Times New Roman" w:cs="Times New Roman"/>
        <w:i/>
        <w:iCs/>
        <w:sz w:val="18"/>
        <w:szCs w:val="18"/>
      </w:rPr>
      <w:t>Finding of No Significant Impact</w:t>
    </w:r>
  </w:p>
  <w:p w14:paraId="4049217B" w14:textId="2072530A" w:rsidR="00731F51" w:rsidRPr="00FD3F10" w:rsidRDefault="00731F51" w:rsidP="00731F51">
    <w:pPr>
      <w:pStyle w:val="Header"/>
      <w:pBdr>
        <w:bottom w:val="single" w:sz="4" w:space="1" w:color="auto"/>
      </w:pBdr>
      <w:rPr>
        <w:rFonts w:ascii="Times New Roman" w:hAnsi="Times New Roman" w:cs="Times New Roman"/>
        <w:i/>
        <w:iCs/>
        <w:sz w:val="18"/>
        <w:szCs w:val="18"/>
      </w:rPr>
    </w:pPr>
    <w:r>
      <w:rPr>
        <w:rFonts w:ascii="Times New Roman" w:hAnsi="Times New Roman" w:cs="Times New Roman"/>
        <w:i/>
        <w:iCs/>
        <w:sz w:val="18"/>
        <w:szCs w:val="18"/>
      </w:rPr>
      <w:t xml:space="preserve">Draft </w:t>
    </w:r>
    <w:r w:rsidRPr="00731F51">
      <w:rPr>
        <w:rFonts w:ascii="Times New Roman" w:hAnsi="Times New Roman" w:cs="Times New Roman"/>
        <w:i/>
        <w:iCs/>
        <w:sz w:val="18"/>
        <w:szCs w:val="18"/>
      </w:rPr>
      <w:t>Environmental Assessment for Development of Additional HLZs</w:t>
    </w:r>
    <w:r>
      <w:rPr>
        <w:rFonts w:ascii="Times New Roman" w:hAnsi="Times New Roman" w:cs="Times New Roman"/>
        <w:i/>
        <w:iCs/>
        <w:sz w:val="18"/>
        <w:szCs w:val="18"/>
      </w:rPr>
      <w:t xml:space="preserve"> at </w:t>
    </w:r>
    <w:r w:rsidRPr="00731F51">
      <w:rPr>
        <w:rFonts w:ascii="Times New Roman" w:hAnsi="Times New Roman" w:cs="Times New Roman"/>
        <w:i/>
        <w:iCs/>
        <w:sz w:val="18"/>
        <w:szCs w:val="18"/>
      </w:rPr>
      <w:t>Moody Air Force Base, Georgia</w:t>
    </w:r>
  </w:p>
  <w:p w14:paraId="0DE3DB90" w14:textId="77777777" w:rsidR="00731F51" w:rsidRDefault="00731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60CDF"/>
    <w:multiLevelType w:val="hybridMultilevel"/>
    <w:tmpl w:val="54329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524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B1"/>
    <w:rsid w:val="00004BF7"/>
    <w:rsid w:val="00042EE7"/>
    <w:rsid w:val="000711D0"/>
    <w:rsid w:val="00074C67"/>
    <w:rsid w:val="001132D7"/>
    <w:rsid w:val="00125AA7"/>
    <w:rsid w:val="0019358D"/>
    <w:rsid w:val="001C4105"/>
    <w:rsid w:val="002B54E6"/>
    <w:rsid w:val="002C1420"/>
    <w:rsid w:val="002E306B"/>
    <w:rsid w:val="00325B8F"/>
    <w:rsid w:val="003760FC"/>
    <w:rsid w:val="0038211D"/>
    <w:rsid w:val="00392765"/>
    <w:rsid w:val="003A7526"/>
    <w:rsid w:val="004339FC"/>
    <w:rsid w:val="004F7F93"/>
    <w:rsid w:val="005901BA"/>
    <w:rsid w:val="005B41D8"/>
    <w:rsid w:val="005F08BE"/>
    <w:rsid w:val="006117CF"/>
    <w:rsid w:val="00617AE7"/>
    <w:rsid w:val="00623DD3"/>
    <w:rsid w:val="0066554D"/>
    <w:rsid w:val="006C555E"/>
    <w:rsid w:val="0071173F"/>
    <w:rsid w:val="00731F51"/>
    <w:rsid w:val="00796BD2"/>
    <w:rsid w:val="00820073"/>
    <w:rsid w:val="00856AD9"/>
    <w:rsid w:val="00856E6C"/>
    <w:rsid w:val="0087409A"/>
    <w:rsid w:val="00885FEC"/>
    <w:rsid w:val="00891A1C"/>
    <w:rsid w:val="008C5574"/>
    <w:rsid w:val="008C6616"/>
    <w:rsid w:val="008E7C27"/>
    <w:rsid w:val="008F7C9B"/>
    <w:rsid w:val="009227DD"/>
    <w:rsid w:val="009758E1"/>
    <w:rsid w:val="009805EF"/>
    <w:rsid w:val="009A5C6E"/>
    <w:rsid w:val="009B2B74"/>
    <w:rsid w:val="009D28B1"/>
    <w:rsid w:val="00A313CC"/>
    <w:rsid w:val="00A5593C"/>
    <w:rsid w:val="00A80DA3"/>
    <w:rsid w:val="00A87BED"/>
    <w:rsid w:val="00AA1B1F"/>
    <w:rsid w:val="00AD53E0"/>
    <w:rsid w:val="00AE70EA"/>
    <w:rsid w:val="00B37898"/>
    <w:rsid w:val="00B71F8F"/>
    <w:rsid w:val="00B80DB6"/>
    <w:rsid w:val="00BC7B9F"/>
    <w:rsid w:val="00BE079F"/>
    <w:rsid w:val="00BE0EDB"/>
    <w:rsid w:val="00BE4BAD"/>
    <w:rsid w:val="00C76A9C"/>
    <w:rsid w:val="00CA44EE"/>
    <w:rsid w:val="00CE6FB6"/>
    <w:rsid w:val="00CF1DA2"/>
    <w:rsid w:val="00D65A68"/>
    <w:rsid w:val="00DD2D51"/>
    <w:rsid w:val="00DE0EAE"/>
    <w:rsid w:val="00DF09FF"/>
    <w:rsid w:val="00E82913"/>
    <w:rsid w:val="00E976DB"/>
    <w:rsid w:val="00EC749D"/>
    <w:rsid w:val="00ED7678"/>
    <w:rsid w:val="00F15B95"/>
    <w:rsid w:val="00F43E1D"/>
    <w:rsid w:val="00F6455B"/>
    <w:rsid w:val="00FD1EC9"/>
    <w:rsid w:val="00FE5D93"/>
    <w:rsid w:val="00FF3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A4B9C"/>
  <w15:chartTrackingRefBased/>
  <w15:docId w15:val="{9B55608A-7D30-46EC-A3A7-350E9144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B1F"/>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B80DB6"/>
    <w:pPr>
      <w:spacing w:line="264" w:lineRule="auto"/>
      <w:jc w:val="both"/>
    </w:pPr>
    <w:rPr>
      <w:rFonts w:ascii="Times New Roman" w:eastAsia="Times New Roman" w:hAnsi="Times New Roman" w:cs="Arial"/>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74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09A"/>
    <w:rPr>
      <w:rFonts w:ascii="Arial" w:hAnsi="Arial"/>
    </w:rPr>
  </w:style>
  <w:style w:type="paragraph" w:styleId="Footer">
    <w:name w:val="footer"/>
    <w:basedOn w:val="Normal"/>
    <w:link w:val="FooterChar"/>
    <w:uiPriority w:val="99"/>
    <w:unhideWhenUsed/>
    <w:rsid w:val="00874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09A"/>
    <w:rPr>
      <w:rFonts w:ascii="Arial" w:hAnsi="Arial"/>
    </w:rPr>
  </w:style>
  <w:style w:type="paragraph" w:styleId="Revision">
    <w:name w:val="Revision"/>
    <w:hidden/>
    <w:uiPriority w:val="99"/>
    <w:semiHidden/>
    <w:rsid w:val="008E7C27"/>
    <w:pPr>
      <w:spacing w:after="0" w:line="240" w:lineRule="auto"/>
    </w:pPr>
    <w:rPr>
      <w:rFonts w:ascii="Arial" w:hAnsi="Arial"/>
    </w:rPr>
  </w:style>
  <w:style w:type="paragraph" w:customStyle="1" w:styleId="NormalReport">
    <w:name w:val="Normal_Report"/>
    <w:basedOn w:val="Normal"/>
    <w:qFormat/>
    <w:rsid w:val="009A5C6E"/>
    <w:pPr>
      <w:overflowPunct w:val="0"/>
      <w:autoSpaceDE w:val="0"/>
      <w:autoSpaceDN w:val="0"/>
      <w:adjustRightInd w:val="0"/>
      <w:spacing w:before="160"/>
      <w:textAlignment w:val="baseline"/>
    </w:pPr>
    <w:rPr>
      <w:rFonts w:eastAsia="Times New Roman" w:cs="Times New Roman"/>
      <w:szCs w:val="24"/>
      <w:lang w:val="en-CA"/>
    </w:rPr>
  </w:style>
  <w:style w:type="character" w:styleId="LineNumber">
    <w:name w:val="line number"/>
    <w:basedOn w:val="DefaultParagraphFont"/>
    <w:uiPriority w:val="99"/>
    <w:semiHidden/>
    <w:unhideWhenUsed/>
    <w:rsid w:val="00731F51"/>
  </w:style>
  <w:style w:type="character" w:styleId="CommentReference">
    <w:name w:val="annotation reference"/>
    <w:basedOn w:val="DefaultParagraphFont"/>
    <w:uiPriority w:val="99"/>
    <w:semiHidden/>
    <w:unhideWhenUsed/>
    <w:rsid w:val="00125AA7"/>
    <w:rPr>
      <w:sz w:val="16"/>
      <w:szCs w:val="16"/>
    </w:rPr>
  </w:style>
  <w:style w:type="paragraph" w:styleId="CommentText">
    <w:name w:val="annotation text"/>
    <w:basedOn w:val="Normal"/>
    <w:link w:val="CommentTextChar"/>
    <w:uiPriority w:val="99"/>
    <w:unhideWhenUsed/>
    <w:rsid w:val="00125AA7"/>
    <w:pPr>
      <w:spacing w:line="240" w:lineRule="auto"/>
    </w:pPr>
    <w:rPr>
      <w:sz w:val="20"/>
      <w:szCs w:val="20"/>
    </w:rPr>
  </w:style>
  <w:style w:type="character" w:customStyle="1" w:styleId="CommentTextChar">
    <w:name w:val="Comment Text Char"/>
    <w:basedOn w:val="DefaultParagraphFont"/>
    <w:link w:val="CommentText"/>
    <w:uiPriority w:val="99"/>
    <w:rsid w:val="00125AA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5AA7"/>
    <w:rPr>
      <w:b/>
      <w:bCs/>
    </w:rPr>
  </w:style>
  <w:style w:type="character" w:customStyle="1" w:styleId="CommentSubjectChar">
    <w:name w:val="Comment Subject Char"/>
    <w:basedOn w:val="CommentTextChar"/>
    <w:link w:val="CommentSubject"/>
    <w:uiPriority w:val="99"/>
    <w:semiHidden/>
    <w:rsid w:val="00125AA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22120">
      <w:bodyDiv w:val="1"/>
      <w:marLeft w:val="0"/>
      <w:marRight w:val="0"/>
      <w:marTop w:val="0"/>
      <w:marBottom w:val="0"/>
      <w:divBdr>
        <w:top w:val="none" w:sz="0" w:space="0" w:color="auto"/>
        <w:left w:val="none" w:sz="0" w:space="0" w:color="auto"/>
        <w:bottom w:val="none" w:sz="0" w:space="0" w:color="auto"/>
        <w:right w:val="none" w:sz="0" w:space="0" w:color="auto"/>
      </w:divBdr>
    </w:div>
    <w:div w:id="618100577">
      <w:bodyDiv w:val="1"/>
      <w:marLeft w:val="0"/>
      <w:marRight w:val="0"/>
      <w:marTop w:val="0"/>
      <w:marBottom w:val="0"/>
      <w:divBdr>
        <w:top w:val="none" w:sz="0" w:space="0" w:color="auto"/>
        <w:left w:val="none" w:sz="0" w:space="0" w:color="auto"/>
        <w:bottom w:val="none" w:sz="0" w:space="0" w:color="auto"/>
        <w:right w:val="none" w:sz="0" w:space="0" w:color="auto"/>
      </w:divBdr>
    </w:div>
    <w:div w:id="708187366">
      <w:bodyDiv w:val="1"/>
      <w:marLeft w:val="0"/>
      <w:marRight w:val="0"/>
      <w:marTop w:val="0"/>
      <w:marBottom w:val="0"/>
      <w:divBdr>
        <w:top w:val="none" w:sz="0" w:space="0" w:color="auto"/>
        <w:left w:val="none" w:sz="0" w:space="0" w:color="auto"/>
        <w:bottom w:val="none" w:sz="0" w:space="0" w:color="auto"/>
        <w:right w:val="none" w:sz="0" w:space="0" w:color="auto"/>
      </w:divBdr>
    </w:div>
    <w:div w:id="772551494">
      <w:bodyDiv w:val="1"/>
      <w:marLeft w:val="0"/>
      <w:marRight w:val="0"/>
      <w:marTop w:val="0"/>
      <w:marBottom w:val="0"/>
      <w:divBdr>
        <w:top w:val="none" w:sz="0" w:space="0" w:color="auto"/>
        <w:left w:val="none" w:sz="0" w:space="0" w:color="auto"/>
        <w:bottom w:val="none" w:sz="0" w:space="0" w:color="auto"/>
        <w:right w:val="none" w:sz="0" w:space="0" w:color="auto"/>
      </w:divBdr>
    </w:div>
    <w:div w:id="785350053">
      <w:bodyDiv w:val="1"/>
      <w:marLeft w:val="0"/>
      <w:marRight w:val="0"/>
      <w:marTop w:val="0"/>
      <w:marBottom w:val="0"/>
      <w:divBdr>
        <w:top w:val="none" w:sz="0" w:space="0" w:color="auto"/>
        <w:left w:val="none" w:sz="0" w:space="0" w:color="auto"/>
        <w:bottom w:val="none" w:sz="0" w:space="0" w:color="auto"/>
        <w:right w:val="none" w:sz="0" w:space="0" w:color="auto"/>
      </w:divBdr>
    </w:div>
    <w:div w:id="857810770">
      <w:bodyDiv w:val="1"/>
      <w:marLeft w:val="0"/>
      <w:marRight w:val="0"/>
      <w:marTop w:val="0"/>
      <w:marBottom w:val="0"/>
      <w:divBdr>
        <w:top w:val="none" w:sz="0" w:space="0" w:color="auto"/>
        <w:left w:val="none" w:sz="0" w:space="0" w:color="auto"/>
        <w:bottom w:val="none" w:sz="0" w:space="0" w:color="auto"/>
        <w:right w:val="none" w:sz="0" w:space="0" w:color="auto"/>
      </w:divBdr>
    </w:div>
    <w:div w:id="869564327">
      <w:bodyDiv w:val="1"/>
      <w:marLeft w:val="0"/>
      <w:marRight w:val="0"/>
      <w:marTop w:val="0"/>
      <w:marBottom w:val="0"/>
      <w:divBdr>
        <w:top w:val="none" w:sz="0" w:space="0" w:color="auto"/>
        <w:left w:val="none" w:sz="0" w:space="0" w:color="auto"/>
        <w:bottom w:val="none" w:sz="0" w:space="0" w:color="auto"/>
        <w:right w:val="none" w:sz="0" w:space="0" w:color="auto"/>
      </w:divBdr>
    </w:div>
    <w:div w:id="894588188">
      <w:bodyDiv w:val="1"/>
      <w:marLeft w:val="0"/>
      <w:marRight w:val="0"/>
      <w:marTop w:val="0"/>
      <w:marBottom w:val="0"/>
      <w:divBdr>
        <w:top w:val="none" w:sz="0" w:space="0" w:color="auto"/>
        <w:left w:val="none" w:sz="0" w:space="0" w:color="auto"/>
        <w:bottom w:val="none" w:sz="0" w:space="0" w:color="auto"/>
        <w:right w:val="none" w:sz="0" w:space="0" w:color="auto"/>
      </w:divBdr>
    </w:div>
    <w:div w:id="1104036425">
      <w:bodyDiv w:val="1"/>
      <w:marLeft w:val="0"/>
      <w:marRight w:val="0"/>
      <w:marTop w:val="0"/>
      <w:marBottom w:val="0"/>
      <w:divBdr>
        <w:top w:val="none" w:sz="0" w:space="0" w:color="auto"/>
        <w:left w:val="none" w:sz="0" w:space="0" w:color="auto"/>
        <w:bottom w:val="none" w:sz="0" w:space="0" w:color="auto"/>
        <w:right w:val="none" w:sz="0" w:space="0" w:color="auto"/>
      </w:divBdr>
    </w:div>
    <w:div w:id="1345521595">
      <w:bodyDiv w:val="1"/>
      <w:marLeft w:val="0"/>
      <w:marRight w:val="0"/>
      <w:marTop w:val="0"/>
      <w:marBottom w:val="0"/>
      <w:divBdr>
        <w:top w:val="none" w:sz="0" w:space="0" w:color="auto"/>
        <w:left w:val="none" w:sz="0" w:space="0" w:color="auto"/>
        <w:bottom w:val="none" w:sz="0" w:space="0" w:color="auto"/>
        <w:right w:val="none" w:sz="0" w:space="0" w:color="auto"/>
      </w:divBdr>
    </w:div>
    <w:div w:id="1702785590">
      <w:bodyDiv w:val="1"/>
      <w:marLeft w:val="0"/>
      <w:marRight w:val="0"/>
      <w:marTop w:val="0"/>
      <w:marBottom w:val="0"/>
      <w:divBdr>
        <w:top w:val="none" w:sz="0" w:space="0" w:color="auto"/>
        <w:left w:val="none" w:sz="0" w:space="0" w:color="auto"/>
        <w:bottom w:val="none" w:sz="0" w:space="0" w:color="auto"/>
        <w:right w:val="none" w:sz="0" w:space="0" w:color="auto"/>
      </w:divBdr>
    </w:div>
    <w:div w:id="17536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Sandige</dc:creator>
  <cp:keywords/>
  <dc:description/>
  <cp:lastModifiedBy>Josh Sandige</cp:lastModifiedBy>
  <cp:revision>9</cp:revision>
  <dcterms:created xsi:type="dcterms:W3CDTF">2023-12-08T14:41:00Z</dcterms:created>
  <dcterms:modified xsi:type="dcterms:W3CDTF">2024-03-01T23:50:00Z</dcterms:modified>
</cp:coreProperties>
</file>